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0C4A" w:rsidRPr="00BE35E7" w:rsidRDefault="001B0C4A" w:rsidP="009D0447">
      <w:pPr>
        <w:spacing w:line="480" w:lineRule="auto"/>
        <w:rPr>
          <w:b/>
          <w:sz w:val="28"/>
        </w:rPr>
      </w:pPr>
      <w:bookmarkStart w:id="0" w:name="_GoBack"/>
      <w:bookmarkEnd w:id="0"/>
      <w:r>
        <w:rPr>
          <w:b/>
          <w:sz w:val="28"/>
        </w:rPr>
        <w:t>Public</w:t>
      </w:r>
      <w:r w:rsidRPr="009E6B7A">
        <w:rPr>
          <w:b/>
          <w:sz w:val="28"/>
        </w:rPr>
        <w:t xml:space="preserve"> willingness to make trade-offs </w:t>
      </w:r>
      <w:r>
        <w:rPr>
          <w:b/>
          <w:sz w:val="28"/>
        </w:rPr>
        <w:t>in</w:t>
      </w:r>
      <w:r w:rsidRPr="009E6B7A">
        <w:rPr>
          <w:b/>
          <w:sz w:val="28"/>
        </w:rPr>
        <w:t xml:space="preserve"> the </w:t>
      </w:r>
      <w:r>
        <w:rPr>
          <w:b/>
          <w:sz w:val="28"/>
        </w:rPr>
        <w:t xml:space="preserve">development of a </w:t>
      </w:r>
      <w:r w:rsidRPr="009E6B7A">
        <w:rPr>
          <w:b/>
          <w:sz w:val="28"/>
        </w:rPr>
        <w:t>hydrogen industry</w:t>
      </w:r>
      <w:r>
        <w:rPr>
          <w:b/>
          <w:sz w:val="28"/>
        </w:rPr>
        <w:t xml:space="preserve"> in Australia</w:t>
      </w:r>
    </w:p>
    <w:p w:rsidR="001B0C4A" w:rsidRDefault="001B0C4A" w:rsidP="00E66BFF">
      <w:pPr>
        <w:spacing w:after="0" w:line="480" w:lineRule="auto"/>
      </w:pPr>
    </w:p>
    <w:p w:rsidR="001B0C4A" w:rsidRDefault="001B0C4A" w:rsidP="00E66BFF">
      <w:pPr>
        <w:spacing w:after="0" w:line="480" w:lineRule="auto"/>
        <w:rPr>
          <w:vertAlign w:val="superscript"/>
        </w:rPr>
      </w:pPr>
      <w:r>
        <w:t xml:space="preserve">Nikki P. </w:t>
      </w:r>
      <w:proofErr w:type="spellStart"/>
      <w:r>
        <w:t>Dumbrell</w:t>
      </w:r>
      <w:r>
        <w:rPr>
          <w:vertAlign w:val="superscript"/>
        </w:rPr>
        <w:t>ab</w:t>
      </w:r>
      <w:proofErr w:type="spellEnd"/>
      <w:r>
        <w:t xml:space="preserve">*, Sarah Ann </w:t>
      </w:r>
      <w:proofErr w:type="spellStart"/>
      <w:r>
        <w:t>Wheeler</w:t>
      </w:r>
      <w:r>
        <w:rPr>
          <w:vertAlign w:val="superscript"/>
        </w:rPr>
        <w:t>c</w:t>
      </w:r>
      <w:proofErr w:type="spellEnd"/>
      <w:r>
        <w:t xml:space="preserve">, Alec </w:t>
      </w:r>
      <w:proofErr w:type="spellStart"/>
      <w:r>
        <w:t>Zuo</w:t>
      </w:r>
      <w:r>
        <w:rPr>
          <w:vertAlign w:val="superscript"/>
        </w:rPr>
        <w:t>a</w:t>
      </w:r>
      <w:proofErr w:type="spellEnd"/>
      <w:r>
        <w:t xml:space="preserve">, David </w:t>
      </w:r>
      <w:proofErr w:type="spellStart"/>
      <w:r>
        <w:t>Adamson</w:t>
      </w:r>
      <w:r>
        <w:rPr>
          <w:vertAlign w:val="superscript"/>
        </w:rPr>
        <w:t>a</w:t>
      </w:r>
      <w:proofErr w:type="spellEnd"/>
    </w:p>
    <w:p w:rsidR="001B0C4A" w:rsidRPr="00E66BFF" w:rsidRDefault="001B0C4A" w:rsidP="00E66BFF">
      <w:pPr>
        <w:spacing w:after="0" w:line="480" w:lineRule="auto"/>
      </w:pPr>
    </w:p>
    <w:p w:rsidR="001B0C4A" w:rsidRPr="00335BE3" w:rsidRDefault="001B0C4A" w:rsidP="00E66BFF">
      <w:proofErr w:type="spellStart"/>
      <w:r w:rsidRPr="00335BE3">
        <w:rPr>
          <w:vertAlign w:val="superscript"/>
        </w:rPr>
        <w:t>a</w:t>
      </w:r>
      <w:r w:rsidRPr="00335BE3">
        <w:t>Centre</w:t>
      </w:r>
      <w:proofErr w:type="spellEnd"/>
      <w:r w:rsidRPr="00335BE3">
        <w:t xml:space="preserve"> for Global Food and Resources,</w:t>
      </w:r>
      <w:r w:rsidRPr="00335BE3">
        <w:rPr>
          <w:vertAlign w:val="superscript"/>
        </w:rPr>
        <w:t xml:space="preserve"> </w:t>
      </w:r>
      <w:r w:rsidRPr="00335BE3">
        <w:t>School of Economics and Public Policy, The University of Adelaide, 10 Pulteney St, Adelaide,</w:t>
      </w:r>
      <w:r w:rsidRPr="00386B42">
        <w:t xml:space="preserve"> South Australia, 5005</w:t>
      </w:r>
      <w:r>
        <w:t>,</w:t>
      </w:r>
      <w:r w:rsidRPr="00335BE3">
        <w:t xml:space="preserve"> AUSTRALA</w:t>
      </w:r>
    </w:p>
    <w:p w:rsidR="001B0C4A" w:rsidRPr="00335BE3" w:rsidRDefault="001B0C4A" w:rsidP="00E66BFF">
      <w:proofErr w:type="spellStart"/>
      <w:r w:rsidRPr="00335BE3">
        <w:rPr>
          <w:vertAlign w:val="superscript"/>
        </w:rPr>
        <w:t>b</w:t>
      </w:r>
      <w:r w:rsidRPr="006C10D0">
        <w:t>Future</w:t>
      </w:r>
      <w:proofErr w:type="spellEnd"/>
      <w:r w:rsidRPr="006C10D0">
        <w:t xml:space="preserve"> Fuels Cooperative Research Centre, Faculty of Engineering and Information Sciences, University of Wollongong, Northfields Avenue, Wollongong, New South Wales 2522</w:t>
      </w:r>
      <w:r>
        <w:t xml:space="preserve">, </w:t>
      </w:r>
      <w:r w:rsidRPr="00335BE3">
        <w:t>AUSTRALA</w:t>
      </w:r>
    </w:p>
    <w:p w:rsidR="001B0C4A" w:rsidRPr="00335BE3" w:rsidRDefault="001B0C4A" w:rsidP="00E66BFF">
      <w:proofErr w:type="spellStart"/>
      <w:r>
        <w:rPr>
          <w:vertAlign w:val="superscript"/>
        </w:rPr>
        <w:t>c</w:t>
      </w:r>
      <w:r w:rsidRPr="00335BE3">
        <w:t>School</w:t>
      </w:r>
      <w:proofErr w:type="spellEnd"/>
      <w:r w:rsidRPr="00335BE3">
        <w:t xml:space="preserve"> of Economics and Public Policy, The University of Adelaide, 10 Pulteney St, Adelaide, </w:t>
      </w:r>
      <w:r w:rsidRPr="00386B42">
        <w:t>South Australia, 5005</w:t>
      </w:r>
      <w:r>
        <w:t>,</w:t>
      </w:r>
      <w:r w:rsidRPr="00386B42">
        <w:t xml:space="preserve"> </w:t>
      </w:r>
      <w:r w:rsidRPr="00335BE3">
        <w:t>AUSTRALA</w:t>
      </w:r>
    </w:p>
    <w:p w:rsidR="001B0C4A" w:rsidRDefault="001B0C4A" w:rsidP="00E66BFF">
      <w:r w:rsidRPr="00335BE3">
        <w:t xml:space="preserve">*Corresponding author: </w:t>
      </w:r>
      <w:hyperlink r:id="rId7" w:history="1">
        <w:r w:rsidRPr="00335BE3">
          <w:rPr>
            <w:rStyle w:val="Hyperlink"/>
          </w:rPr>
          <w:t>nikki.dumbrell@adelaide.edu.au</w:t>
        </w:r>
      </w:hyperlink>
      <w:r w:rsidRPr="00335BE3">
        <w:t xml:space="preserve"> </w:t>
      </w:r>
    </w:p>
    <w:p w:rsidR="001B0C4A" w:rsidRDefault="001B0C4A" w:rsidP="00E11D1D">
      <w:pPr>
        <w:ind w:firstLine="720"/>
      </w:pPr>
    </w:p>
    <w:p w:rsidR="001B0C4A" w:rsidRDefault="001B0C4A" w:rsidP="00E11D1D">
      <w:pPr>
        <w:ind w:firstLine="720"/>
      </w:pPr>
    </w:p>
    <w:p w:rsidR="001B0C4A" w:rsidRDefault="001B0C4A" w:rsidP="009D0447">
      <w:pPr>
        <w:spacing w:line="480" w:lineRule="auto"/>
        <w:rPr>
          <w:b/>
        </w:rPr>
      </w:pPr>
      <w:r w:rsidRPr="000F125A">
        <w:rPr>
          <w:b/>
        </w:rPr>
        <w:t>Abstract</w:t>
      </w:r>
    </w:p>
    <w:p w:rsidR="001B0C4A" w:rsidRDefault="001B0C4A" w:rsidP="00E66BFF">
      <w:pPr>
        <w:spacing w:after="0" w:line="480" w:lineRule="auto"/>
        <w:jc w:val="both"/>
      </w:pPr>
      <w:r>
        <w:t xml:space="preserve">Hydrogen is attracting increasing attention and investment in the low carbon energy transition. However, it is expected that any transition to hydrogen at a meaningful scale or rate, will be dependent on the industry obtaining a social licence, underpinned by public acceptance. This study analyses a public survey that asked </w:t>
      </w:r>
      <w:r>
        <w:rPr>
          <w:rFonts w:hint="eastAsia"/>
          <w:lang w:eastAsia="zh-CN"/>
        </w:rPr>
        <w:t>1824</w:t>
      </w:r>
      <w:r>
        <w:t xml:space="preserve"> residents of South Australia and Victoria (Australia) to indicate how important six characteristics of a hydrogen industry would be in their decision to support the development of such an industry, namely: (1) safety; (2) climate change mitigation; (3) affordability; (4) reliability; (5) accessibility; and (6) job creation. Overall, safety was rated as the most important characteristic, followed by climate change mitigation and affordability</w:t>
      </w:r>
      <w:r w:rsidRPr="001842C9">
        <w:t xml:space="preserve">. </w:t>
      </w:r>
      <w:r>
        <w:t>F</w:t>
      </w:r>
      <w:r w:rsidRPr="001842C9">
        <w:t xml:space="preserve">ractional multinomial logit model </w:t>
      </w:r>
      <w:r>
        <w:t>estimates found</w:t>
      </w:r>
      <w:r w:rsidRPr="001842C9">
        <w:t xml:space="preserve"> socio</w:t>
      </w:r>
      <w:r>
        <w:t xml:space="preserve">-demographic (e.g. age, location) and attitudinal characteristics (e.g. </w:t>
      </w:r>
      <w:r w:rsidRPr="0006274F">
        <w:t>concern about climate change</w:t>
      </w:r>
      <w:r>
        <w:t xml:space="preserve">, hydrogen knowledge) statistically significantly </w:t>
      </w:r>
      <w:r w:rsidRPr="0006274F">
        <w:t xml:space="preserve">influenced individuals’ </w:t>
      </w:r>
      <w:r>
        <w:t xml:space="preserve">importance ratings of hydrogen industry characteristics. This research </w:t>
      </w:r>
      <w:r w:rsidRPr="00A92168">
        <w:t>indicate</w:t>
      </w:r>
      <w:r>
        <w:t>s</w:t>
      </w:r>
      <w:r w:rsidRPr="00A92168">
        <w:t xml:space="preserve"> the trade-offs that individuals may</w:t>
      </w:r>
      <w:r>
        <w:t>—</w:t>
      </w:r>
      <w:r w:rsidRPr="00A92168">
        <w:t>or may not be</w:t>
      </w:r>
      <w:r>
        <w:t>—</w:t>
      </w:r>
      <w:r w:rsidRPr="00A92168">
        <w:t xml:space="preserve">willing to make in the transition to hydrogen energy. </w:t>
      </w:r>
      <w:r w:rsidRPr="000B2882">
        <w:t xml:space="preserve">Such information can be used to </w:t>
      </w:r>
      <w:r w:rsidRPr="000B2882">
        <w:lastRenderedPageBreak/>
        <w:t xml:space="preserve">align policy and investment decisions with public expectations </w:t>
      </w:r>
      <w:r>
        <w:t>for</w:t>
      </w:r>
      <w:r w:rsidRPr="000B2882">
        <w:t xml:space="preserve"> the </w:t>
      </w:r>
      <w:r>
        <w:t xml:space="preserve">further </w:t>
      </w:r>
      <w:r w:rsidRPr="000B2882">
        <w:t>development of the hydrogen industry</w:t>
      </w:r>
      <w:r>
        <w:t xml:space="preserve"> in Australia</w:t>
      </w:r>
      <w:r w:rsidRPr="000B2882">
        <w:t>.</w:t>
      </w:r>
    </w:p>
    <w:p w:rsidR="001B0C4A" w:rsidRPr="00E76023" w:rsidRDefault="001B0C4A" w:rsidP="00E66BFF">
      <w:pPr>
        <w:spacing w:after="0" w:line="480" w:lineRule="auto"/>
        <w:jc w:val="both"/>
      </w:pPr>
    </w:p>
    <w:p w:rsidR="001B0C4A" w:rsidRDefault="001B0C4A" w:rsidP="00E66BFF">
      <w:pPr>
        <w:spacing w:after="0" w:line="480" w:lineRule="auto"/>
      </w:pPr>
      <w:r>
        <w:rPr>
          <w:b/>
        </w:rPr>
        <w:t xml:space="preserve">Keywords: </w:t>
      </w:r>
      <w:r w:rsidRPr="000617ED">
        <w:t>Proportional data;</w:t>
      </w:r>
      <w:r>
        <w:rPr>
          <w:b/>
        </w:rPr>
        <w:t xml:space="preserve"> </w:t>
      </w:r>
      <w:proofErr w:type="spellStart"/>
      <w:r>
        <w:t>fmlogit</w:t>
      </w:r>
      <w:proofErr w:type="spellEnd"/>
      <w:r>
        <w:t>;</w:t>
      </w:r>
      <w:r>
        <w:rPr>
          <w:b/>
        </w:rPr>
        <w:t xml:space="preserve"> </w:t>
      </w:r>
      <w:r w:rsidRPr="000617ED">
        <w:t xml:space="preserve">Energy </w:t>
      </w:r>
      <w:r>
        <w:t>transition; Low carbon economy; Social licence; Social acceptance</w:t>
      </w:r>
    </w:p>
    <w:p w:rsidR="001B0C4A" w:rsidRDefault="001B0C4A" w:rsidP="00E66BFF">
      <w:pPr>
        <w:spacing w:after="0" w:line="480" w:lineRule="auto"/>
      </w:pPr>
    </w:p>
    <w:p w:rsidR="001B0C4A" w:rsidRPr="009D0447" w:rsidRDefault="001B0C4A" w:rsidP="00E66BFF">
      <w:pPr>
        <w:spacing w:after="0" w:line="480" w:lineRule="auto"/>
      </w:pPr>
    </w:p>
    <w:p w:rsidR="001B0C4A" w:rsidRDefault="001B0C4A" w:rsidP="009D0447">
      <w:pPr>
        <w:pStyle w:val="ListParagraph"/>
        <w:numPr>
          <w:ilvl w:val="0"/>
          <w:numId w:val="1"/>
        </w:numPr>
        <w:spacing w:after="0" w:line="480" w:lineRule="auto"/>
        <w:ind w:left="426" w:hanging="426"/>
        <w:rPr>
          <w:b/>
        </w:rPr>
      </w:pPr>
      <w:r w:rsidRPr="000617ED">
        <w:rPr>
          <w:b/>
        </w:rPr>
        <w:t>Introduction</w:t>
      </w:r>
    </w:p>
    <w:p w:rsidR="001B0C4A" w:rsidRDefault="001B0C4A" w:rsidP="009D0447">
      <w:pPr>
        <w:pStyle w:val="ListParagraph"/>
        <w:spacing w:after="0" w:line="480" w:lineRule="auto"/>
        <w:ind w:left="426"/>
        <w:rPr>
          <w:b/>
        </w:rPr>
      </w:pPr>
    </w:p>
    <w:p w:rsidR="001B0C4A" w:rsidRDefault="001B0C4A" w:rsidP="009D0447">
      <w:pPr>
        <w:spacing w:after="0" w:line="480" w:lineRule="auto"/>
        <w:jc w:val="both"/>
      </w:pPr>
      <w:r>
        <w:t xml:space="preserve">There is fast-growing international interest in a transition to hydrogen energy </w:t>
      </w:r>
      <w:r>
        <w:rPr>
          <w:noProof/>
        </w:rPr>
        <w:t>(International Energy Agency, 2019)</w:t>
      </w:r>
      <w:r>
        <w:t xml:space="preserve">. This interest is driven by the need to decarbonise economies and prevent adverse impacts of climate change. However, the cost to decarbonise an economy is not trivial </w:t>
      </w:r>
      <w:r>
        <w:rPr>
          <w:noProof/>
        </w:rPr>
        <w:t>(Brear et al., 2020; García-García et al., 2020)</w:t>
      </w:r>
      <w:r>
        <w:t xml:space="preserve">. The transition involves difficult choices that must be technically feasible, relatively safe, economically rational, and accepted by the public. While governments around the world are increasing investment into, and promoting, the transition to </w:t>
      </w:r>
      <w:proofErr w:type="gramStart"/>
      <w:r>
        <w:t>hydrogen based</w:t>
      </w:r>
      <w:proofErr w:type="gramEnd"/>
      <w:r>
        <w:t xml:space="preserve"> economies </w:t>
      </w:r>
      <w:r>
        <w:rPr>
          <w:noProof/>
        </w:rPr>
        <w:t>(Kosturjak et al., 2019)</w:t>
      </w:r>
      <w:r>
        <w:t xml:space="preserve">, </w:t>
      </w:r>
      <w:r w:rsidRPr="008E5CC9">
        <w:t>public acceptance</w:t>
      </w:r>
      <w:r>
        <w:t xml:space="preserve"> of hydrogen and potential trade-offs required to achieve the transition to hydrogen, are not well understood</w:t>
      </w:r>
      <w:r w:rsidRPr="008E5CC9">
        <w:t>.</w:t>
      </w:r>
      <w:r>
        <w:t xml:space="preserve"> </w:t>
      </w:r>
    </w:p>
    <w:p w:rsidR="001B0C4A" w:rsidRDefault="001B0C4A" w:rsidP="009D0447">
      <w:pPr>
        <w:spacing w:after="0" w:line="480" w:lineRule="auto"/>
        <w:jc w:val="both"/>
      </w:pPr>
    </w:p>
    <w:p w:rsidR="001B0C4A" w:rsidRDefault="001B0C4A" w:rsidP="009D0447">
      <w:pPr>
        <w:spacing w:after="0" w:line="480" w:lineRule="auto"/>
        <w:jc w:val="both"/>
      </w:pPr>
      <w:r>
        <w:t xml:space="preserve">While public acceptance is in-part contingent on technical feasibility and costs, other influences affect acceptance of hydrogen energy and associated technologies </w:t>
      </w:r>
      <w:r>
        <w:rPr>
          <w:noProof/>
        </w:rPr>
        <w:t>(Flynn et al., 2009; Heinz and Erdmann, 2008; Ricci et al., 2008; Schmidt and Donsbach, 2016; Schulte et al., 2004)</w:t>
      </w:r>
      <w:r>
        <w:t>. For example, trust in technology and governance as well as knowledge of hydrogen have been found to be important for public acceptance, and subsequently</w:t>
      </w:r>
      <w:r w:rsidRPr="00EA2F7A">
        <w:t xml:space="preserve"> the establishment of a social licence </w:t>
      </w:r>
      <w:r>
        <w:rPr>
          <w:noProof/>
        </w:rPr>
        <w:t>(Ashworth et al., 2019; Lambert and Ashworth, 2018)</w:t>
      </w:r>
      <w:r>
        <w:t xml:space="preserve">. An industry with a social licence enjoys the ongoing acceptance or approval of stakeholders affected by the industry and those able to affect its feasibility </w:t>
      </w:r>
      <w:r>
        <w:rPr>
          <w:noProof/>
        </w:rPr>
        <w:t>(Cooney, 2017; Graafland, 2002)</w:t>
      </w:r>
      <w:r>
        <w:t xml:space="preserve">. Across the globe, the failure to gain a social licence for energy developments (including solar, wind, gas, </w:t>
      </w:r>
      <w:r>
        <w:lastRenderedPageBreak/>
        <w:t xml:space="preserve">coal) has led to costly disputes, regulatory restrictions and difficulty obtaining legal licences </w:t>
      </w:r>
      <w:r>
        <w:rPr>
          <w:noProof/>
        </w:rPr>
        <w:t>(Faruque, 2018; Langbroek and Vanclay, 2012; Luke, 2017; Measham et al., 2021)</w:t>
      </w:r>
      <w:r>
        <w:t>. Consequences can also include project failures, delays and reputational and financial costs. The same ramifications confront the hydrogen industry</w:t>
      </w:r>
      <w:r w:rsidRPr="00197314">
        <w:t xml:space="preserve"> </w:t>
      </w:r>
      <w:r>
        <w:t xml:space="preserve">should it fail to secure a social licence </w:t>
      </w:r>
      <w:r>
        <w:rPr>
          <w:noProof/>
        </w:rPr>
        <w:t>(Beck et al., 2019)</w:t>
      </w:r>
      <w:r>
        <w:t xml:space="preserve">.  </w:t>
      </w:r>
    </w:p>
    <w:p w:rsidR="001B0C4A" w:rsidRDefault="001B0C4A" w:rsidP="009D0447">
      <w:pPr>
        <w:spacing w:after="0" w:line="480" w:lineRule="auto"/>
        <w:jc w:val="both"/>
      </w:pPr>
    </w:p>
    <w:p w:rsidR="001B0C4A" w:rsidRDefault="001B0C4A" w:rsidP="009D0447">
      <w:pPr>
        <w:spacing w:after="0" w:line="480" w:lineRule="auto"/>
        <w:jc w:val="both"/>
      </w:pPr>
      <w:r w:rsidRPr="001A62B7">
        <w:t xml:space="preserve">In a </w:t>
      </w:r>
      <w:r>
        <w:t>systematic</w:t>
      </w:r>
      <w:r w:rsidRPr="001A62B7">
        <w:t xml:space="preserve"> review of the social licence literature, </w:t>
      </w:r>
      <w:r w:rsidRPr="001A62B7">
        <w:rPr>
          <w:noProof/>
        </w:rPr>
        <w:t>Dumbrell et al. (2020)</w:t>
      </w:r>
      <w:r w:rsidRPr="001A62B7">
        <w:t xml:space="preserve"> found that threats to a business or industry’s social licence emerge </w:t>
      </w:r>
      <w:r>
        <w:t>when the industry fails to meet stakeholders’ expectations</w:t>
      </w:r>
      <w:r w:rsidRPr="001A62B7">
        <w:t xml:space="preserve">. </w:t>
      </w:r>
      <w:r>
        <w:t xml:space="preserve">This </w:t>
      </w:r>
      <w:r w:rsidRPr="00612208">
        <w:t xml:space="preserve">is especially the case when stakeholders experience </w:t>
      </w:r>
      <w:r w:rsidRPr="00E6699E">
        <w:t xml:space="preserve">undesirable external effects of these industries </w:t>
      </w:r>
      <w:r>
        <w:t>(negative externalities)</w:t>
      </w:r>
      <w:r w:rsidRPr="00612208">
        <w:t>.</w:t>
      </w:r>
      <w:r>
        <w:t xml:space="preserve"> </w:t>
      </w:r>
      <w:r w:rsidRPr="001A62B7">
        <w:t>However, the threshold of what is acceptable differs across groups, time and space</w:t>
      </w:r>
      <w:r>
        <w:t>, and with the benefits (real or perceived) that can be expected</w:t>
      </w:r>
      <w:r w:rsidRPr="001A62B7">
        <w:t>. For example, the oil and gas industries in Australia</w:t>
      </w:r>
      <w:r>
        <w:t xml:space="preserve"> have been shown to</w:t>
      </w:r>
      <w:r w:rsidRPr="001A62B7">
        <w:t xml:space="preserve"> provide sufficient benefits (e.g. employment opportunities) for some stakeholders to tolerate the undesirable external effects of the</w:t>
      </w:r>
      <w:r>
        <w:t>se</w:t>
      </w:r>
      <w:r w:rsidRPr="001A62B7">
        <w:t xml:space="preserve"> industries, </w:t>
      </w:r>
      <w:r>
        <w:t>such as</w:t>
      </w:r>
      <w:r w:rsidRPr="001A62B7">
        <w:t xml:space="preserve"> environmental damage </w:t>
      </w:r>
      <w:r w:rsidRPr="001A62B7">
        <w:rPr>
          <w:noProof/>
        </w:rPr>
        <w:t>(e.g. Marcos-Martinez et al., 2019; Richert et al., 2015)</w:t>
      </w:r>
      <w:r>
        <w:t>. However, other stakeholders</w:t>
      </w:r>
      <w:r w:rsidRPr="001A62B7">
        <w:t xml:space="preserve"> </w:t>
      </w:r>
      <w:r>
        <w:t xml:space="preserve">are not as tolerant </w:t>
      </w:r>
      <w:r w:rsidRPr="001A62B7">
        <w:rPr>
          <w:noProof/>
        </w:rPr>
        <w:t>(e.g. Luke, 2017)</w:t>
      </w:r>
      <w:r w:rsidRPr="001A62B7">
        <w:t xml:space="preserve">. </w:t>
      </w:r>
    </w:p>
    <w:p w:rsidR="001B0C4A" w:rsidRPr="003E270D" w:rsidRDefault="001B0C4A" w:rsidP="009D0447">
      <w:pPr>
        <w:spacing w:after="0" w:line="480" w:lineRule="auto"/>
        <w:jc w:val="both"/>
        <w:rPr>
          <w:highlight w:val="yellow"/>
        </w:rPr>
      </w:pPr>
    </w:p>
    <w:p w:rsidR="001B0C4A" w:rsidRDefault="001B0C4A" w:rsidP="009D0447">
      <w:pPr>
        <w:spacing w:after="0" w:line="480" w:lineRule="auto"/>
        <w:jc w:val="both"/>
      </w:pPr>
      <w:r>
        <w:t xml:space="preserve">In particular, there has been increasing interest and investment in hydrogen in Australia </w:t>
      </w:r>
      <w:r>
        <w:rPr>
          <w:noProof/>
        </w:rPr>
        <w:t>(Australian Government Department of Industry, 2020; Commonwealth of Australia, 2019)</w:t>
      </w:r>
      <w:r>
        <w:t xml:space="preserve">. However, questions have arisen regarding the probability that a hydrogen industry will gain a social licence, and indeed, how the industry can best position itself to gain a social licence </w:t>
      </w:r>
      <w:r>
        <w:rPr>
          <w:noProof/>
        </w:rPr>
        <w:t>(Bruce et al., 2018; Carr-Cornish et al., 2019)</w:t>
      </w:r>
      <w:r>
        <w:t>. Hence</w:t>
      </w:r>
      <w:r w:rsidRPr="00C630D4">
        <w:t xml:space="preserve">, </w:t>
      </w:r>
      <w:r>
        <w:t xml:space="preserve">an </w:t>
      </w:r>
      <w:r w:rsidRPr="00C630D4">
        <w:t>understanding</w:t>
      </w:r>
      <w:r>
        <w:t xml:space="preserve"> of</w:t>
      </w:r>
      <w:r w:rsidRPr="00C630D4">
        <w:t xml:space="preserve"> </w:t>
      </w:r>
      <w:r>
        <w:t>the Australian public’s views towards hydrogen and the t</w:t>
      </w:r>
      <w:r w:rsidRPr="00C630D4">
        <w:t>rade-offs th</w:t>
      </w:r>
      <w:r>
        <w:t>e</w:t>
      </w:r>
      <w:r w:rsidRPr="00C630D4">
        <w:t>y may</w:t>
      </w:r>
      <w:r>
        <w:t>,</w:t>
      </w:r>
      <w:r w:rsidRPr="00C630D4">
        <w:t xml:space="preserve"> </w:t>
      </w:r>
      <w:r>
        <w:t xml:space="preserve">or </w:t>
      </w:r>
      <w:r w:rsidRPr="00C630D4">
        <w:t>may not be</w:t>
      </w:r>
      <w:r>
        <w:t>,</w:t>
      </w:r>
      <w:r w:rsidRPr="00C630D4">
        <w:t xml:space="preserve"> willing to make </w:t>
      </w:r>
      <w:r>
        <w:t xml:space="preserve">to facilitate the transition to </w:t>
      </w:r>
      <w:r w:rsidRPr="00C630D4">
        <w:t xml:space="preserve">hydrogen </w:t>
      </w:r>
      <w:r>
        <w:t>energy are important to explore. Information on the public’s views can be used to</w:t>
      </w:r>
      <w:r w:rsidRPr="00C630D4">
        <w:t xml:space="preserve">: (1) signal support </w:t>
      </w:r>
      <w:r>
        <w:t xml:space="preserve">and long-term stability </w:t>
      </w:r>
      <w:r w:rsidRPr="00C630D4">
        <w:t xml:space="preserve">for different private sector </w:t>
      </w:r>
      <w:r>
        <w:t xml:space="preserve">hydrogen </w:t>
      </w:r>
      <w:r w:rsidRPr="00C630D4">
        <w:t>capital investments; (2) inform public policy decisions</w:t>
      </w:r>
      <w:r>
        <w:t xml:space="preserve"> for regulating and/or supporting hydrogen industry development;</w:t>
      </w:r>
      <w:r w:rsidRPr="00C630D4">
        <w:t xml:space="preserve"> </w:t>
      </w:r>
      <w:r>
        <w:t>and (3) inform effective communication and education campaigns for the</w:t>
      </w:r>
      <w:r w:rsidRPr="00C630D4">
        <w:t xml:space="preserve"> </w:t>
      </w:r>
      <w:r>
        <w:t xml:space="preserve">hydrogen </w:t>
      </w:r>
      <w:r w:rsidRPr="00C630D4">
        <w:t xml:space="preserve">transition. </w:t>
      </w:r>
      <w:r>
        <w:t xml:space="preserve">Failure to understand and account for the </w:t>
      </w:r>
      <w:r>
        <w:lastRenderedPageBreak/>
        <w:t xml:space="preserve">public’s views in the development of a hydrogen industry </w:t>
      </w:r>
      <w:r w:rsidRPr="006061BF">
        <w:t xml:space="preserve">could </w:t>
      </w:r>
      <w:r>
        <w:t xml:space="preserve">jeopardise any chance the industry has to obtain a </w:t>
      </w:r>
      <w:r w:rsidRPr="006061BF">
        <w:t>social licence.</w:t>
      </w:r>
      <w:r>
        <w:t xml:space="preserve"> On the other hand, identification of the public’s concerns at an early stage of hydrogen development may help to avoid path dependency and lock-in from government policy and investment, especially if alternative (and more socially acceptable) hydrogen development pathways or forms of energy exist </w:t>
      </w:r>
      <w:r>
        <w:rPr>
          <w:noProof/>
        </w:rPr>
        <w:t>(Cowan, 1990; Unruh, 2002)</w:t>
      </w:r>
      <w:r>
        <w:t xml:space="preserve">. </w:t>
      </w:r>
    </w:p>
    <w:p w:rsidR="001B0C4A" w:rsidRDefault="001B0C4A" w:rsidP="009D0447">
      <w:pPr>
        <w:spacing w:after="0" w:line="480" w:lineRule="auto"/>
        <w:jc w:val="both"/>
      </w:pPr>
    </w:p>
    <w:p w:rsidR="001B0C4A" w:rsidRDefault="001B0C4A" w:rsidP="009D0447">
      <w:pPr>
        <w:spacing w:after="0" w:line="480" w:lineRule="auto"/>
        <w:jc w:val="both"/>
      </w:pPr>
      <w:r w:rsidRPr="00C630D4">
        <w:t xml:space="preserve">This research </w:t>
      </w:r>
      <w:r>
        <w:t>aims</w:t>
      </w:r>
      <w:r w:rsidRPr="00C630D4">
        <w:t xml:space="preserve"> to identify the trade-offs </w:t>
      </w:r>
      <w:r>
        <w:t xml:space="preserve">residents of south-eastern </w:t>
      </w:r>
      <w:r w:rsidRPr="00C630D4">
        <w:t>Australia may be willing to make in the transition to hydrogen energy.</w:t>
      </w:r>
      <w:r>
        <w:t xml:space="preserve"> Specifically, we address the research questions: What characteristics of a future hydrogen energy system will be most important to Australians, and what (if any) trade-offs are individuals willing to make to transition to hydrogen energy? How do socio-demographic characteristics and attitudes affect individuals’ hydrogen industry preferences? This research contributes to the social licence and hydrogen policy literatures by demonstrating the relative importance the public places upon different characteristics of the hydrogen industry that could be critical to understand as public and private investments continue to flow toward developing a hydrogen industry in Australia. </w:t>
      </w:r>
    </w:p>
    <w:p w:rsidR="001B0C4A" w:rsidRDefault="001B0C4A" w:rsidP="009D0447">
      <w:pPr>
        <w:spacing w:after="0" w:line="480" w:lineRule="auto"/>
        <w:jc w:val="both"/>
      </w:pPr>
    </w:p>
    <w:p w:rsidR="001B0C4A" w:rsidRDefault="001B0C4A" w:rsidP="009D0447">
      <w:pPr>
        <w:pStyle w:val="ListParagraph"/>
        <w:numPr>
          <w:ilvl w:val="0"/>
          <w:numId w:val="1"/>
        </w:numPr>
        <w:spacing w:after="0" w:line="480" w:lineRule="auto"/>
        <w:ind w:left="426" w:hanging="426"/>
        <w:rPr>
          <w:b/>
        </w:rPr>
      </w:pPr>
      <w:r>
        <w:rPr>
          <w:b/>
        </w:rPr>
        <w:t xml:space="preserve">Examining stakeholders’ preferences for various characteristics of a hydrogen industry </w:t>
      </w:r>
    </w:p>
    <w:p w:rsidR="001B0C4A" w:rsidRDefault="001B0C4A" w:rsidP="009D0447">
      <w:pPr>
        <w:pStyle w:val="ListParagraph"/>
        <w:spacing w:after="0" w:line="480" w:lineRule="auto"/>
        <w:ind w:left="426"/>
        <w:rPr>
          <w:b/>
        </w:rPr>
      </w:pPr>
    </w:p>
    <w:p w:rsidR="001B0C4A" w:rsidRDefault="001B0C4A" w:rsidP="009D0447">
      <w:pPr>
        <w:spacing w:after="0" w:line="480" w:lineRule="auto"/>
        <w:jc w:val="both"/>
      </w:pPr>
      <w:r>
        <w:t>International research has shown psychological, attitudinal, and s</w:t>
      </w:r>
      <w:r w:rsidRPr="002A407C">
        <w:t>ocio-demographic</w:t>
      </w:r>
      <w:r>
        <w:t xml:space="preserve"> determinants to be</w:t>
      </w:r>
      <w:r w:rsidRPr="002A407C">
        <w:t xml:space="preserve"> </w:t>
      </w:r>
      <w:r>
        <w:t>associated with</w:t>
      </w:r>
      <w:r w:rsidRPr="002A407C">
        <w:t xml:space="preserve"> public acceptance of hydrogen </w:t>
      </w:r>
      <w:r>
        <w:rPr>
          <w:noProof/>
        </w:rPr>
        <w:t>(e.g. Huijts and van Wee, 2015; O’Garra et al., 2008)</w:t>
      </w:r>
      <w:r w:rsidRPr="002A407C">
        <w:t>.</w:t>
      </w:r>
      <w:r>
        <w:t xml:space="preserve"> Similar to other studies in the field of public acceptance of new scientific developments,</w:t>
      </w:r>
      <w:r w:rsidRPr="00C642F8">
        <w:t xml:space="preserve"> key psychological determinants shown to influence public acceptance of hydrogen include trust and knowledge.</w:t>
      </w:r>
      <w:r w:rsidRPr="00DD454E">
        <w:t xml:space="preserve"> For example</w:t>
      </w:r>
      <w:r w:rsidRPr="00484CAF">
        <w:t xml:space="preserve">, </w:t>
      </w:r>
      <w:r w:rsidRPr="003A4F3D">
        <w:t>trust and confidence in govern</w:t>
      </w:r>
      <w:r>
        <w:t>ment</w:t>
      </w:r>
      <w:r w:rsidRPr="003A4F3D">
        <w:t xml:space="preserve"> and regulatory institutions </w:t>
      </w:r>
      <w:r>
        <w:t>has been</w:t>
      </w:r>
      <w:r w:rsidRPr="003A4F3D">
        <w:t xml:space="preserve"> positively associated with public acceptance of hydrogen energy and infrastructure </w:t>
      </w:r>
      <w:r w:rsidRPr="003A4F3D">
        <w:rPr>
          <w:noProof/>
        </w:rPr>
        <w:t>(O’Garra et al., 2008)</w:t>
      </w:r>
      <w:r w:rsidRPr="003A4F3D">
        <w:t xml:space="preserve">. </w:t>
      </w:r>
      <w:r>
        <w:t xml:space="preserve">Likewise, objective and subjective knowledge of hydrogen has been found to be positively associated with acceptance in some </w:t>
      </w:r>
      <w:r>
        <w:lastRenderedPageBreak/>
        <w:t xml:space="preserve">circumstances </w:t>
      </w:r>
      <w:r>
        <w:rPr>
          <w:noProof/>
        </w:rPr>
        <w:t>(Huijts and van Wee, 2015; O’Garra and Mourato, 2007; Thesen and Langhelle, 2008)</w:t>
      </w:r>
      <w:r>
        <w:t xml:space="preserve">. However, many studies indicate that the general public is relatively supportive of hydrogen at the same time that knowledge is low </w:t>
      </w:r>
      <w:r>
        <w:rPr>
          <w:noProof/>
        </w:rPr>
        <w:t>(e.g. Achterberg et al., 2010; Carr-Cornish et al., 2019; Lambert and Ashworth, 2018; Martin et al., 2021; Ricci et al., 2008)</w:t>
      </w:r>
      <w:r>
        <w:t xml:space="preserve">. </w:t>
      </w:r>
      <w:r>
        <w:rPr>
          <w:noProof/>
        </w:rPr>
        <w:t>Carr-Cornish et al. (2019)</w:t>
      </w:r>
      <w:r>
        <w:t xml:space="preserve"> and </w:t>
      </w:r>
      <w:r>
        <w:rPr>
          <w:noProof/>
        </w:rPr>
        <w:t>Bogel et al. (2018)</w:t>
      </w:r>
      <w:r>
        <w:t xml:space="preserve"> noted that attitudes formed on limited information are subject to change. While </w:t>
      </w:r>
      <w:r>
        <w:rPr>
          <w:noProof/>
        </w:rPr>
        <w:t>Achterberg et al. (2010)</w:t>
      </w:r>
      <w:r>
        <w:t xml:space="preserve"> suggested that this finding may arise because cultural predispositions and previous experience and trust in governance and technology play a mediating role in knowledge translating to acceptance.</w:t>
      </w:r>
    </w:p>
    <w:p w:rsidR="001B0C4A" w:rsidRDefault="001B0C4A" w:rsidP="009D0447">
      <w:pPr>
        <w:spacing w:after="0" w:line="480" w:lineRule="auto"/>
        <w:jc w:val="both"/>
      </w:pPr>
    </w:p>
    <w:p w:rsidR="001B0C4A" w:rsidRDefault="001B0C4A" w:rsidP="009D0447">
      <w:pPr>
        <w:spacing w:after="0" w:line="480" w:lineRule="auto"/>
        <w:jc w:val="both"/>
      </w:pPr>
      <w:r>
        <w:t xml:space="preserve">Given hydrogen is largely attracting attention as an energy source for a low carbon </w:t>
      </w:r>
      <w:r w:rsidRPr="00EF1516">
        <w:t>transition,</w:t>
      </w:r>
      <w:r w:rsidRPr="0023703F">
        <w:t xml:space="preserve"> </w:t>
      </w:r>
      <w:r w:rsidRPr="00EF1516">
        <w:t>environmental</w:t>
      </w:r>
      <w:r w:rsidRPr="00AC10FC">
        <w:t xml:space="preserve"> attitudes have also been associated with </w:t>
      </w:r>
      <w:r>
        <w:t>public</w:t>
      </w:r>
      <w:r w:rsidRPr="00AC10FC">
        <w:t xml:space="preserve"> acceptance</w:t>
      </w:r>
      <w:r>
        <w:t xml:space="preserve"> of hydrogen </w:t>
      </w:r>
      <w:r>
        <w:rPr>
          <w:noProof/>
        </w:rPr>
        <w:t>(Achterberg et al., 2010; Thesen and Langhelle, 2008; Zimmer and Welke, 2012)</w:t>
      </w:r>
      <w:r>
        <w:t xml:space="preserve">. </w:t>
      </w:r>
      <w:r w:rsidRPr="00F944EE">
        <w:rPr>
          <w:szCs w:val="27"/>
        </w:rPr>
        <w:t xml:space="preserve">Environmental attitudes were statistically significant contributors to </w:t>
      </w:r>
      <w:r w:rsidRPr="002D562B">
        <w:rPr>
          <w:szCs w:val="27"/>
        </w:rPr>
        <w:t xml:space="preserve">hydrogen </w:t>
      </w:r>
      <w:r>
        <w:rPr>
          <w:szCs w:val="27"/>
        </w:rPr>
        <w:t xml:space="preserve">vehicle and fuel station </w:t>
      </w:r>
      <w:r w:rsidRPr="002D562B">
        <w:rPr>
          <w:szCs w:val="27"/>
        </w:rPr>
        <w:t>acceptance in</w:t>
      </w:r>
      <w:r>
        <w:rPr>
          <w:szCs w:val="27"/>
        </w:rPr>
        <w:t xml:space="preserve"> a Norwegian study</w:t>
      </w:r>
      <w:r w:rsidRPr="002D562B">
        <w:rPr>
          <w:szCs w:val="27"/>
        </w:rPr>
        <w:t xml:space="preserve"> </w:t>
      </w:r>
      <w:r w:rsidRPr="002D562B">
        <w:rPr>
          <w:noProof/>
          <w:szCs w:val="27"/>
        </w:rPr>
        <w:t>(Thesen and Langhelle, 2008)</w:t>
      </w:r>
      <w:r w:rsidRPr="002D562B">
        <w:rPr>
          <w:szCs w:val="27"/>
        </w:rPr>
        <w:t xml:space="preserve"> </w:t>
      </w:r>
      <w:r>
        <w:rPr>
          <w:szCs w:val="27"/>
        </w:rPr>
        <w:t xml:space="preserve">and a study in </w:t>
      </w:r>
      <w:r w:rsidRPr="002D562B">
        <w:rPr>
          <w:szCs w:val="27"/>
        </w:rPr>
        <w:t xml:space="preserve">London </w:t>
      </w:r>
      <w:r w:rsidRPr="002D562B">
        <w:rPr>
          <w:noProof/>
          <w:szCs w:val="27"/>
        </w:rPr>
        <w:t>(O’Garra et al., 2008)</w:t>
      </w:r>
      <w:r w:rsidRPr="002D562B">
        <w:rPr>
          <w:szCs w:val="27"/>
        </w:rPr>
        <w:t>.</w:t>
      </w:r>
      <w:r>
        <w:rPr>
          <w:szCs w:val="27"/>
        </w:rPr>
        <w:t xml:space="preserve"> Survey results from a Dutch study also showed that those concerne</w:t>
      </w:r>
      <w:r>
        <w:t xml:space="preserve">d about the environment were more supportive of hydrogen </w:t>
      </w:r>
      <w:r>
        <w:rPr>
          <w:noProof/>
        </w:rPr>
        <w:t>(Achterberg et al., 2010)</w:t>
      </w:r>
      <w:r>
        <w:t>. Alongside attitudes, s</w:t>
      </w:r>
      <w:r w:rsidRPr="00760666">
        <w:t xml:space="preserve">ocio-demographic determinants such age and </w:t>
      </w:r>
      <w:r>
        <w:t xml:space="preserve">lower </w:t>
      </w:r>
      <w:r w:rsidRPr="00760666">
        <w:t xml:space="preserve">income have </w:t>
      </w:r>
      <w:r>
        <w:t xml:space="preserve">also </w:t>
      </w:r>
      <w:r w:rsidRPr="00760666">
        <w:t>been</w:t>
      </w:r>
      <w:r>
        <w:t xml:space="preserve"> positively</w:t>
      </w:r>
      <w:r w:rsidRPr="00760666">
        <w:t xml:space="preserve"> associated with </w:t>
      </w:r>
      <w:r>
        <w:t xml:space="preserve">opposition </w:t>
      </w:r>
      <w:r w:rsidRPr="00760666">
        <w:t>to</w:t>
      </w:r>
      <w:r>
        <w:t>wards</w:t>
      </w:r>
      <w:r w:rsidRPr="00760666">
        <w:t xml:space="preserve"> hydrogen storage and fuelling stations in London </w:t>
      </w:r>
      <w:r w:rsidRPr="00760666">
        <w:rPr>
          <w:noProof/>
        </w:rPr>
        <w:t>(O’Garra et al., 2008)</w:t>
      </w:r>
      <w:r w:rsidRPr="00760666">
        <w:t xml:space="preserve">. </w:t>
      </w:r>
    </w:p>
    <w:p w:rsidR="001B0C4A" w:rsidRDefault="001B0C4A" w:rsidP="009D0447">
      <w:pPr>
        <w:spacing w:after="0" w:line="480" w:lineRule="auto"/>
        <w:jc w:val="both"/>
      </w:pPr>
    </w:p>
    <w:p w:rsidR="001B0C4A" w:rsidRDefault="001B0C4A" w:rsidP="009D0447">
      <w:pPr>
        <w:spacing w:after="0" w:line="480" w:lineRule="auto"/>
        <w:jc w:val="both"/>
      </w:pPr>
      <w:r>
        <w:t>Noting the above influences on public acceptance, it is also anticipated that the</w:t>
      </w:r>
      <w:r w:rsidRPr="00515382">
        <w:t xml:space="preserve"> </w:t>
      </w:r>
      <w:r>
        <w:t xml:space="preserve">energy </w:t>
      </w:r>
      <w:r w:rsidRPr="00515382">
        <w:t>industry</w:t>
      </w:r>
      <w:r>
        <w:t>’s</w:t>
      </w:r>
      <w:r w:rsidRPr="00515382">
        <w:t xml:space="preserve"> </w:t>
      </w:r>
      <w:r>
        <w:t xml:space="preserve">ability to gain a </w:t>
      </w:r>
      <w:r w:rsidRPr="00515382">
        <w:t xml:space="preserve">social licence </w:t>
      </w:r>
      <w:r>
        <w:t xml:space="preserve">for hydrogen will be based on society’s perceptions of the affordability, reliability and environmental sustainability of hydrogen </w:t>
      </w:r>
      <w:r w:rsidRPr="00515382">
        <w:rPr>
          <w:noProof/>
        </w:rPr>
        <w:t>(Energy Networks Australia, 2019)</w:t>
      </w:r>
      <w:r>
        <w:t xml:space="preserve">. The </w:t>
      </w:r>
      <w:r w:rsidRPr="00515382">
        <w:t>triple challenge of providing an energy system that is: secure</w:t>
      </w:r>
      <w:r>
        <w:t>/reliable</w:t>
      </w:r>
      <w:r w:rsidRPr="00515382">
        <w:t xml:space="preserve">, equitable (accessible and affordable) and environmentally sustainable </w:t>
      </w:r>
      <w:r>
        <w:t xml:space="preserve">is referred to as the </w:t>
      </w:r>
      <w:r w:rsidRPr="00515382">
        <w:t>energy trilemm</w:t>
      </w:r>
      <w:r>
        <w:t xml:space="preserve">a </w:t>
      </w:r>
      <w:r w:rsidRPr="00515382">
        <w:rPr>
          <w:noProof/>
        </w:rPr>
        <w:t>(World Energy Council, 2020)</w:t>
      </w:r>
      <w:r w:rsidRPr="00515382">
        <w:t xml:space="preserve">. </w:t>
      </w:r>
      <w:r w:rsidRPr="001E4E1F">
        <w:t>The concept of the energy trilemma</w:t>
      </w:r>
      <w:r w:rsidRPr="00515382">
        <w:t xml:space="preserve"> </w:t>
      </w:r>
      <w:r>
        <w:t>suggests that</w:t>
      </w:r>
      <w:r w:rsidRPr="00515382">
        <w:t xml:space="preserve">: (1) each of the dimensions are important and valued; and (2) investment and </w:t>
      </w:r>
      <w:r w:rsidRPr="00515382">
        <w:lastRenderedPageBreak/>
        <w:t xml:space="preserve">improvement in one dimension could have negative consequences for other dimensions, </w:t>
      </w:r>
      <w:r>
        <w:t>namely</w:t>
      </w:r>
      <w:r w:rsidRPr="00515382">
        <w:t xml:space="preserve"> there are trade-offs to be made </w:t>
      </w:r>
      <w:r w:rsidRPr="00515382">
        <w:rPr>
          <w:noProof/>
        </w:rPr>
        <w:t>(Heffron et al., 2015)</w:t>
      </w:r>
      <w:r w:rsidRPr="00515382">
        <w:t xml:space="preserve">. </w:t>
      </w:r>
    </w:p>
    <w:p w:rsidR="001B0C4A" w:rsidRDefault="001B0C4A" w:rsidP="009D0447">
      <w:pPr>
        <w:spacing w:after="0" w:line="480" w:lineRule="auto"/>
        <w:jc w:val="both"/>
      </w:pPr>
    </w:p>
    <w:p w:rsidR="001B0C4A" w:rsidRDefault="001B0C4A" w:rsidP="009D0447">
      <w:pPr>
        <w:autoSpaceDE w:val="0"/>
        <w:autoSpaceDN w:val="0"/>
        <w:adjustRightInd w:val="0"/>
        <w:spacing w:after="0" w:line="480" w:lineRule="auto"/>
        <w:jc w:val="both"/>
      </w:pPr>
      <w:r>
        <w:t xml:space="preserve">In the Australian context, the main influences on future acceptance and social licence prospects for hydrogen energy have been identified as perceptions of: (1) safety; (2) environmental benefit—especially in regard to renewable versus </w:t>
      </w:r>
      <w:r w:rsidRPr="00B513F6">
        <w:t xml:space="preserve">non-renewable hydrogen production; and </w:t>
      </w:r>
      <w:r>
        <w:t xml:space="preserve">(3) </w:t>
      </w:r>
      <w:r w:rsidRPr="00B513F6">
        <w:t xml:space="preserve">cost </w:t>
      </w:r>
      <w:r w:rsidRPr="00B513F6">
        <w:rPr>
          <w:noProof/>
        </w:rPr>
        <w:t>(Carr-Cornish et al., 2019)</w:t>
      </w:r>
      <w:r w:rsidRPr="00B513F6">
        <w:t>. This</w:t>
      </w:r>
      <w:r>
        <w:t xml:space="preserve"> research </w:t>
      </w:r>
      <w:r w:rsidRPr="00B513F6">
        <w:t xml:space="preserve">follows a wider literature that has identified the balance of benefits and costs as drivers of social licence outcomes </w:t>
      </w:r>
      <w:r w:rsidRPr="00B513F6">
        <w:rPr>
          <w:noProof/>
        </w:rPr>
        <w:t>(Dumbrell et al., 2020)</w:t>
      </w:r>
      <w:r w:rsidRPr="00B513F6">
        <w:t xml:space="preserve"> and hydrogen-specific research showing expected social and environmental costs and benefits to be influential for acceptance </w:t>
      </w:r>
      <w:r w:rsidRPr="00B513F6">
        <w:rPr>
          <w:noProof/>
        </w:rPr>
        <w:t>(Thesen and Langhelle, 2008)</w:t>
      </w:r>
      <w:r w:rsidRPr="00B513F6">
        <w:t>.</w:t>
      </w:r>
      <w:r w:rsidRPr="00E944AB">
        <w:t xml:space="preserve"> </w:t>
      </w:r>
      <w:r>
        <w:t xml:space="preserve">In particular, this research follows from the broad exploration of the Australian public’s </w:t>
      </w:r>
      <w:r w:rsidRPr="0068189F">
        <w:rPr>
          <w:szCs w:val="20"/>
        </w:rPr>
        <w:t>response to</w:t>
      </w:r>
      <w:r w:rsidRPr="0068189F">
        <w:rPr>
          <w:rFonts w:ascii="ArialMT" w:hAnsi="ArialMT" w:cs="ArialMT"/>
          <w:szCs w:val="20"/>
        </w:rPr>
        <w:t xml:space="preserve"> </w:t>
      </w:r>
      <w:r>
        <w:rPr>
          <w:szCs w:val="20"/>
        </w:rPr>
        <w:t>a</w:t>
      </w:r>
      <w:r w:rsidRPr="00A04F40">
        <w:rPr>
          <w:szCs w:val="20"/>
        </w:rPr>
        <w:t xml:space="preserve"> potential transition to a hydrogen economy</w:t>
      </w:r>
      <w:r>
        <w:rPr>
          <w:szCs w:val="20"/>
        </w:rPr>
        <w:t xml:space="preserve"> </w:t>
      </w:r>
      <w:r>
        <w:t xml:space="preserve">reported by </w:t>
      </w:r>
      <w:r>
        <w:rPr>
          <w:noProof/>
        </w:rPr>
        <w:t>Lambert and Ashworth (2018)</w:t>
      </w:r>
      <w:r>
        <w:t xml:space="preserve"> and </w:t>
      </w:r>
      <w:r>
        <w:rPr>
          <w:noProof/>
        </w:rPr>
        <w:t>Martin et al. (2021)</w:t>
      </w:r>
      <w:r>
        <w:t>. This study builds on their identification of hydrogen industry characteristics the public consider important by soliciting trade-offs between these characteristics</w:t>
      </w:r>
      <w:r w:rsidRPr="00D5561B">
        <w:t xml:space="preserve">. This research also frames the hydrogen industry characteristics of interest as the costs and benefits that stakeholders weigh up within the broader context of conditions that contribute to social licence outcomes </w:t>
      </w:r>
      <w:r>
        <w:rPr>
          <w:noProof/>
        </w:rPr>
        <w:t>(Dumbrell et al., 2020; Dumbrell et al., 2021)</w:t>
      </w:r>
      <w:r w:rsidRPr="00D5561B">
        <w:t>.</w:t>
      </w:r>
      <w:r>
        <w:t xml:space="preserve"> Consequently, the focus of this research is to test public willingness to make trade-offs between six key characteristics of a hydrogen industry: (1) safety; (2) climate change mitigation; (3) affordability; (4) reliability; (5) accessibility; and (6) job creation. The following sections briefly summarise research and issues relevant to each characteristic as well as evidence for developing a series of hypotheses to test.</w:t>
      </w:r>
    </w:p>
    <w:p w:rsidR="001B0C4A" w:rsidRPr="00824758" w:rsidRDefault="001B0C4A" w:rsidP="009D0447">
      <w:pPr>
        <w:spacing w:after="0" w:line="480" w:lineRule="auto"/>
        <w:jc w:val="both"/>
      </w:pPr>
    </w:p>
    <w:p w:rsidR="001B0C4A" w:rsidRDefault="001B0C4A" w:rsidP="009D0447">
      <w:pPr>
        <w:pStyle w:val="ListParagraph"/>
        <w:numPr>
          <w:ilvl w:val="1"/>
          <w:numId w:val="21"/>
        </w:numPr>
        <w:spacing w:after="0" w:line="480" w:lineRule="auto"/>
        <w:rPr>
          <w:b/>
        </w:rPr>
      </w:pPr>
      <w:r w:rsidRPr="00824758">
        <w:rPr>
          <w:b/>
        </w:rPr>
        <w:t>Safety</w:t>
      </w:r>
      <w:r>
        <w:rPr>
          <w:b/>
        </w:rPr>
        <w:t xml:space="preserve"> issues</w:t>
      </w:r>
    </w:p>
    <w:p w:rsidR="001B0C4A" w:rsidRPr="00824758" w:rsidRDefault="001B0C4A" w:rsidP="009D0447">
      <w:pPr>
        <w:pStyle w:val="ListParagraph"/>
        <w:spacing w:after="0" w:line="480" w:lineRule="auto"/>
        <w:rPr>
          <w:b/>
        </w:rPr>
      </w:pPr>
    </w:p>
    <w:p w:rsidR="001B0C4A" w:rsidRDefault="001B0C4A" w:rsidP="009D0447">
      <w:pPr>
        <w:spacing w:after="0" w:line="480" w:lineRule="auto"/>
        <w:jc w:val="both"/>
      </w:pPr>
      <w:r>
        <w:t xml:space="preserve">As with existing fuels such as petroleum and natural gas, safety risks </w:t>
      </w:r>
      <w:bookmarkStart w:id="1" w:name="_Hlk78286654"/>
      <w:r>
        <w:t xml:space="preserve">related to hydrogen fuels </w:t>
      </w:r>
      <w:bookmarkEnd w:id="1"/>
      <w:r>
        <w:t xml:space="preserve">are largely associated with combustion </w:t>
      </w:r>
      <w:r w:rsidRPr="0057733E">
        <w:t>risks. Hydrogen can ignite more easily than petroleum and natural gas</w:t>
      </w:r>
      <w:r>
        <w:t xml:space="preserve"> </w:t>
      </w:r>
      <w:r>
        <w:rPr>
          <w:noProof/>
        </w:rPr>
        <w:t>(Hord, 1978)</w:t>
      </w:r>
      <w:r w:rsidRPr="0057733E">
        <w:t xml:space="preserve">, and can cause some metals (used in existing energy </w:t>
      </w:r>
      <w:r w:rsidRPr="0057733E">
        <w:lastRenderedPageBreak/>
        <w:t xml:space="preserve">infrastructure) to become brittle, increasing the risk of leaks. </w:t>
      </w:r>
      <w:r w:rsidRPr="00415B88">
        <w:t>Consequently, ventilation, and leak and flame detection equipment are required for infrastructure</w:t>
      </w:r>
      <w:r>
        <w:t xml:space="preserve"> designed to carry hydrogen </w:t>
      </w:r>
      <w:r w:rsidRPr="00415B88">
        <w:rPr>
          <w:noProof/>
        </w:rPr>
        <w:t>(Rigas and Amyotte, 2012)</w:t>
      </w:r>
      <w:r w:rsidRPr="00415B88">
        <w:t>.</w:t>
      </w:r>
      <w:r>
        <w:t xml:space="preserve"> Noting these potential safety issues, </w:t>
      </w:r>
      <w:r w:rsidRPr="00182615">
        <w:t xml:space="preserve">research that has asked </w:t>
      </w:r>
      <w:r>
        <w:t>the public to</w:t>
      </w:r>
      <w:r w:rsidRPr="00182615">
        <w:t xml:space="preserve"> elicit spontaneous associations with the word hydrogen, has found </w:t>
      </w:r>
      <w:r>
        <w:t xml:space="preserve">mixed results. In most cases </w:t>
      </w:r>
      <w:r w:rsidRPr="00182615">
        <w:t xml:space="preserve">negative associations </w:t>
      </w:r>
      <w:r>
        <w:t>have</w:t>
      </w:r>
      <w:r w:rsidRPr="00182615">
        <w:t xml:space="preserve"> be</w:t>
      </w:r>
      <w:r>
        <w:t>en</w:t>
      </w:r>
      <w:r w:rsidRPr="00182615">
        <w:t xml:space="preserve"> rare </w:t>
      </w:r>
      <w:r>
        <w:rPr>
          <w:noProof/>
        </w:rPr>
        <w:t>(Thesen and Langhelle, 2008; Zimmer and Welke, 2012)</w:t>
      </w:r>
      <w:r w:rsidRPr="00182615">
        <w:t xml:space="preserve">, </w:t>
      </w:r>
      <w:r>
        <w:t xml:space="preserve">whereas others have found negative associations to be common </w:t>
      </w:r>
      <w:r w:rsidRPr="00182615">
        <w:rPr>
          <w:noProof/>
        </w:rPr>
        <w:t>(Montijn-Dorgelo and Midden, 2008)</w:t>
      </w:r>
      <w:r w:rsidRPr="00182615">
        <w:t>.</w:t>
      </w:r>
      <w:r>
        <w:t xml:space="preserve"> Public s</w:t>
      </w:r>
      <w:r w:rsidRPr="008424B3">
        <w:t xml:space="preserve">afety concerns </w:t>
      </w:r>
      <w:r>
        <w:t>identified in previous research tend to be</w:t>
      </w:r>
      <w:r w:rsidRPr="008424B3">
        <w:t xml:space="preserve"> intertwined with proximity</w:t>
      </w:r>
      <w:r>
        <w:t xml:space="preserve"> to hydrogen infrastructure (and therefore potential combustion sites)</w:t>
      </w:r>
      <w:r w:rsidRPr="008424B3">
        <w:t xml:space="preserve"> and knowledge of </w:t>
      </w:r>
      <w:r>
        <w:t>hydrogen’s</w:t>
      </w:r>
      <w:r w:rsidRPr="008424B3">
        <w:t xml:space="preserve"> properties </w:t>
      </w:r>
      <w:r>
        <w:rPr>
          <w:noProof/>
        </w:rPr>
        <w:t>(Huijts and van Wee, 2015; Lambert and Ashworth, 2018; O’Garra et al., 2008; Scott and Powells, 2020)</w:t>
      </w:r>
      <w:r w:rsidRPr="008424B3">
        <w:t xml:space="preserve">. </w:t>
      </w:r>
      <w:r>
        <w:t xml:space="preserve">Indeed, </w:t>
      </w:r>
      <w:r>
        <w:rPr>
          <w:noProof/>
        </w:rPr>
        <w:t>Huijts and van Wee (2015)</w:t>
      </w:r>
      <w:r>
        <w:t xml:space="preserve"> and </w:t>
      </w:r>
      <w:r>
        <w:rPr>
          <w:noProof/>
        </w:rPr>
        <w:t>O’Garra et al. (2008)</w:t>
      </w:r>
      <w:r>
        <w:t xml:space="preserve"> found that distance from a hydrogen site was positively associated with acceptance of hydrogen. In the same research, o</w:t>
      </w:r>
      <w:r w:rsidRPr="000365F4">
        <w:t>pposition</w:t>
      </w:r>
      <w:r>
        <w:t xml:space="preserve"> from residents in the vicinity of hydrogen refuelling stations also </w:t>
      </w:r>
      <w:r w:rsidRPr="000365F4">
        <w:t>appear</w:t>
      </w:r>
      <w:r>
        <w:t>ed</w:t>
      </w:r>
      <w:r w:rsidRPr="000365F4">
        <w:t xml:space="preserve"> to be determined </w:t>
      </w:r>
      <w:r>
        <w:t xml:space="preserve">in-part </w:t>
      </w:r>
      <w:r w:rsidRPr="000365F4">
        <w:t>by a lack of trust in safety regulations</w:t>
      </w:r>
      <w:r>
        <w:t xml:space="preserve"> </w:t>
      </w:r>
      <w:r>
        <w:rPr>
          <w:noProof/>
        </w:rPr>
        <w:t>(O’Garra et al., 2008)</w:t>
      </w:r>
      <w:r>
        <w:t xml:space="preserve">. </w:t>
      </w:r>
    </w:p>
    <w:p w:rsidR="001B0C4A" w:rsidRDefault="001B0C4A" w:rsidP="009D0447">
      <w:pPr>
        <w:spacing w:after="0" w:line="480" w:lineRule="auto"/>
        <w:jc w:val="both"/>
      </w:pPr>
    </w:p>
    <w:p w:rsidR="001B0C4A" w:rsidRDefault="001B0C4A" w:rsidP="009D0447">
      <w:pPr>
        <w:pStyle w:val="ListParagraph"/>
        <w:numPr>
          <w:ilvl w:val="1"/>
          <w:numId w:val="21"/>
        </w:numPr>
        <w:spacing w:after="0" w:line="480" w:lineRule="auto"/>
        <w:rPr>
          <w:b/>
        </w:rPr>
      </w:pPr>
      <w:r w:rsidRPr="00824758">
        <w:rPr>
          <w:b/>
        </w:rPr>
        <w:t>Climate change mitigation</w:t>
      </w:r>
      <w:r>
        <w:rPr>
          <w:b/>
        </w:rPr>
        <w:t xml:space="preserve"> benefits</w:t>
      </w:r>
    </w:p>
    <w:p w:rsidR="001B0C4A" w:rsidRPr="00824758" w:rsidRDefault="001B0C4A" w:rsidP="009D0447">
      <w:pPr>
        <w:pStyle w:val="ListParagraph"/>
        <w:spacing w:after="0" w:line="480" w:lineRule="auto"/>
        <w:rPr>
          <w:b/>
        </w:rPr>
      </w:pPr>
    </w:p>
    <w:p w:rsidR="001B0C4A" w:rsidRDefault="001B0C4A" w:rsidP="009D0447">
      <w:pPr>
        <w:spacing w:after="0" w:line="480" w:lineRule="auto"/>
        <w:jc w:val="both"/>
      </w:pPr>
      <w:r>
        <w:t>The key e</w:t>
      </w:r>
      <w:r w:rsidRPr="008424B3">
        <w:t xml:space="preserve">nvironmental </w:t>
      </w:r>
      <w:r>
        <w:t xml:space="preserve">consequences of a transition to hydrogen are related to greenhouse gas emissions. Hydrogen can be produced using fossil fuels (via steam methane reforming or coal gasification), </w:t>
      </w:r>
      <w:r w:rsidRPr="008424B3">
        <w:t>or</w:t>
      </w:r>
      <w:r w:rsidRPr="00E142B9">
        <w:t xml:space="preserve"> </w:t>
      </w:r>
      <w:r>
        <w:t xml:space="preserve">renewable energy to </w:t>
      </w:r>
      <w:r w:rsidRPr="00E142B9">
        <w:t>power electrolysis</w:t>
      </w:r>
      <w:r>
        <w:t xml:space="preserve"> of water </w:t>
      </w:r>
      <w:r>
        <w:rPr>
          <w:noProof/>
        </w:rPr>
        <w:t>(Acar and Dincer, 2019)</w:t>
      </w:r>
      <w:r>
        <w:t xml:space="preserve">. Only the production of hydrogen from renewable energy produces zero greenhouse gas emissions, even if the fossil fuel-based processes are paired with carbon capture and storage </w:t>
      </w:r>
      <w:r>
        <w:rPr>
          <w:noProof/>
        </w:rPr>
        <w:t>(Howarth and Jacobson, 2021)</w:t>
      </w:r>
      <w:r>
        <w:t xml:space="preserve">. A clear social preference for renewable hydrogen was found in a German study with participants stating that there would be no incentive to purchase a hydrogen vehicle if the fuel was derived from fossil fuels </w:t>
      </w:r>
      <w:r>
        <w:rPr>
          <w:noProof/>
        </w:rPr>
        <w:t>(Zimmer and Welke, 2012)</w:t>
      </w:r>
      <w:r>
        <w:t xml:space="preserve">. Climate change mitigation was also noted as an important benefit of hydrogen energy in recent Australian studies </w:t>
      </w:r>
      <w:r>
        <w:rPr>
          <w:noProof/>
        </w:rPr>
        <w:t>(Lambert and Ashworth, 2018; Martin et al., 2021)</w:t>
      </w:r>
      <w:r>
        <w:t xml:space="preserve">. </w:t>
      </w:r>
      <w:r w:rsidRPr="00737A50">
        <w:t xml:space="preserve">This is </w:t>
      </w:r>
      <w:r>
        <w:t xml:space="preserve">noteworthy </w:t>
      </w:r>
      <w:r w:rsidRPr="00737A50">
        <w:t xml:space="preserve">because it is not yet clear which production pathway (fossil or renewable hydrogen) will be </w:t>
      </w:r>
      <w:r w:rsidRPr="00737A50">
        <w:lastRenderedPageBreak/>
        <w:t>pursued, or incentivised in Australia</w:t>
      </w:r>
      <w:r>
        <w:t>. To date, the</w:t>
      </w:r>
      <w:r w:rsidRPr="00737A50">
        <w:t xml:space="preserve"> </w:t>
      </w:r>
      <w:r>
        <w:t xml:space="preserve">Federal </w:t>
      </w:r>
      <w:r w:rsidRPr="00737A50">
        <w:t>government have adopted a technology</w:t>
      </w:r>
      <w:r>
        <w:t xml:space="preserve"> neutral</w:t>
      </w:r>
      <w:r w:rsidRPr="00737A50">
        <w:t xml:space="preserve"> stance</w:t>
      </w:r>
      <w:r>
        <w:t xml:space="preserve"> </w:t>
      </w:r>
      <w:r w:rsidRPr="008424B3">
        <w:rPr>
          <w:noProof/>
        </w:rPr>
        <w:t>(Commonwealth of Australia, 2019)</w:t>
      </w:r>
      <w:r w:rsidRPr="008424B3">
        <w:t xml:space="preserve">. </w:t>
      </w:r>
    </w:p>
    <w:p w:rsidR="001B0C4A" w:rsidRDefault="001B0C4A" w:rsidP="009D0447">
      <w:pPr>
        <w:spacing w:after="0" w:line="480" w:lineRule="auto"/>
        <w:jc w:val="both"/>
      </w:pPr>
    </w:p>
    <w:p w:rsidR="001B0C4A" w:rsidRPr="00245714" w:rsidRDefault="001B0C4A" w:rsidP="009D0447">
      <w:pPr>
        <w:pStyle w:val="ListParagraph"/>
        <w:numPr>
          <w:ilvl w:val="1"/>
          <w:numId w:val="21"/>
        </w:numPr>
        <w:spacing w:after="0" w:line="480" w:lineRule="auto"/>
        <w:rPr>
          <w:b/>
        </w:rPr>
      </w:pPr>
      <w:r w:rsidRPr="00245714">
        <w:rPr>
          <w:b/>
        </w:rPr>
        <w:t>Affordability issues</w:t>
      </w:r>
    </w:p>
    <w:p w:rsidR="001B0C4A" w:rsidRPr="00BA4EED" w:rsidRDefault="001B0C4A" w:rsidP="009D0447">
      <w:pPr>
        <w:pStyle w:val="ListParagraph"/>
        <w:spacing w:after="0" w:line="480" w:lineRule="auto"/>
        <w:rPr>
          <w:b/>
        </w:rPr>
      </w:pPr>
    </w:p>
    <w:p w:rsidR="001B0C4A" w:rsidRDefault="001B0C4A" w:rsidP="009D0447">
      <w:pPr>
        <w:spacing w:after="0" w:line="480" w:lineRule="auto"/>
        <w:jc w:val="both"/>
      </w:pPr>
      <w:r>
        <w:t xml:space="preserve">Energy affordability is a critical issue for economically </w:t>
      </w:r>
      <w:r w:rsidRPr="009D2D5D">
        <w:t xml:space="preserve">vulnerable groups </w:t>
      </w:r>
      <w:r>
        <w:rPr>
          <w:noProof/>
        </w:rPr>
        <w:t>(Willand and Horne, 2018)</w:t>
      </w:r>
      <w:r>
        <w:t xml:space="preserve">. However, an </w:t>
      </w:r>
      <w:proofErr w:type="gramStart"/>
      <w:r>
        <w:t>ever growing</w:t>
      </w:r>
      <w:proofErr w:type="gramEnd"/>
      <w:r w:rsidRPr="00A53880">
        <w:t xml:space="preserve"> literature suggests </w:t>
      </w:r>
      <w:r>
        <w:t>consumers</w:t>
      </w:r>
      <w:r w:rsidRPr="00A53880">
        <w:t xml:space="preserve"> are willing to pay</w:t>
      </w:r>
      <w:r>
        <w:t xml:space="preserve"> more</w:t>
      </w:r>
      <w:r w:rsidRPr="00A53880">
        <w:t xml:space="preserve"> for renewable</w:t>
      </w:r>
      <w:r>
        <w:t xml:space="preserve"> energy, but willingness to pay is also contingent on the source of energy, e.g. wind or solar </w:t>
      </w:r>
      <w:r>
        <w:rPr>
          <w:noProof/>
        </w:rPr>
        <w:t>(Ma et al., 2015)</w:t>
      </w:r>
      <w:r>
        <w:t xml:space="preserve">. In the Australian context, some research suggests hydrogen made from fossil fuels paired with carbon capture and storage technology would be more cost-competitive than hydrogen made from renewable energy powered electrolysis of water </w:t>
      </w:r>
      <w:r>
        <w:rPr>
          <w:noProof/>
        </w:rPr>
        <w:t>(Milani et al., 2020)</w:t>
      </w:r>
      <w:r>
        <w:t xml:space="preserve">. Whereas other research puts renewable hydrogen as cost competitive with other hydrogen production technologies in the short-term </w:t>
      </w:r>
      <w:r>
        <w:rPr>
          <w:noProof/>
        </w:rPr>
        <w:t>(Advisian, 2021; Longden et al., 2020)</w:t>
      </w:r>
      <w:r>
        <w:t>.</w:t>
      </w:r>
      <w:r w:rsidRPr="00A972CE">
        <w:t xml:space="preserve"> </w:t>
      </w:r>
      <w:r>
        <w:t>This could be critical given</w:t>
      </w:r>
      <w:r w:rsidRPr="00857C48">
        <w:t xml:space="preserve"> </w:t>
      </w:r>
      <w:r>
        <w:rPr>
          <w:noProof/>
        </w:rPr>
        <w:t>Lambert and Ashworth (2018)</w:t>
      </w:r>
      <w:r>
        <w:t xml:space="preserve"> found less than half of their Australian survey sample </w:t>
      </w:r>
      <w:r w:rsidRPr="009D5945">
        <w:t xml:space="preserve">were willing </w:t>
      </w:r>
      <w:r>
        <w:t xml:space="preserve">to trade off affordability of hydrogen energy and </w:t>
      </w:r>
      <w:r w:rsidRPr="009D5945">
        <w:t>appliances/vehicles</w:t>
      </w:r>
      <w:r>
        <w:t xml:space="preserve"> against environmental benefits</w:t>
      </w:r>
      <w:r w:rsidRPr="009D5945">
        <w:t>.</w:t>
      </w:r>
      <w:r>
        <w:t xml:space="preserve"> </w:t>
      </w:r>
    </w:p>
    <w:p w:rsidR="001B0C4A" w:rsidRPr="00706BEB" w:rsidRDefault="001B0C4A" w:rsidP="009D0447">
      <w:pPr>
        <w:spacing w:after="0" w:line="480" w:lineRule="auto"/>
        <w:jc w:val="both"/>
        <w:rPr>
          <w:i/>
        </w:rPr>
      </w:pPr>
    </w:p>
    <w:p w:rsidR="001B0C4A" w:rsidRPr="002D4836" w:rsidRDefault="001B0C4A" w:rsidP="009D0447">
      <w:pPr>
        <w:pStyle w:val="ListParagraph"/>
        <w:numPr>
          <w:ilvl w:val="1"/>
          <w:numId w:val="21"/>
        </w:numPr>
        <w:spacing w:after="0" w:line="480" w:lineRule="auto"/>
        <w:rPr>
          <w:b/>
        </w:rPr>
      </w:pPr>
      <w:r w:rsidRPr="002D4836">
        <w:rPr>
          <w:b/>
        </w:rPr>
        <w:t>Reliability issues</w:t>
      </w:r>
    </w:p>
    <w:p w:rsidR="001B0C4A" w:rsidRDefault="001B0C4A" w:rsidP="009D0447">
      <w:pPr>
        <w:pStyle w:val="ListParagraph"/>
        <w:spacing w:after="0" w:line="480" w:lineRule="auto"/>
        <w:rPr>
          <w:b/>
        </w:rPr>
      </w:pPr>
    </w:p>
    <w:p w:rsidR="001B0C4A" w:rsidRDefault="001B0C4A" w:rsidP="007306CA">
      <w:pPr>
        <w:spacing w:after="0" w:line="480" w:lineRule="auto"/>
        <w:jc w:val="both"/>
      </w:pPr>
      <w:r>
        <w:t xml:space="preserve">A reliable energy system features continuous supply with few to no disruptions. Renewable energy systems such as solar and wind have been labelled as unreliable, and despite the advent of new technologies to support these systems, continue to be plagued by the unreliable narrative </w:t>
      </w:r>
      <w:r>
        <w:rPr>
          <w:noProof/>
        </w:rPr>
        <w:t>(Curran, 2012)</w:t>
      </w:r>
      <w:r>
        <w:t>.</w:t>
      </w:r>
      <w:r w:rsidRPr="004C53D1">
        <w:t xml:space="preserve"> </w:t>
      </w:r>
      <w:r>
        <w:t xml:space="preserve">Hydrogen can act as an energy storage medium to help overcome reliability issues </w:t>
      </w:r>
      <w:r>
        <w:rPr>
          <w:noProof/>
        </w:rPr>
        <w:t>(Eriksson and Gray, 2017)</w:t>
      </w:r>
      <w:r>
        <w:t>. Although knowledge of this hydrogen attribute is low, the</w:t>
      </w:r>
      <w:r w:rsidRPr="004C53D1">
        <w:t xml:space="preserve"> potential for hydrogen</w:t>
      </w:r>
      <w:r>
        <w:t xml:space="preserve"> to contribute to energy reliability has been identified as advantageous by Australians who suffer from poor energy reliability or energy outages due to supply shocks </w:t>
      </w:r>
      <w:r>
        <w:rPr>
          <w:noProof/>
        </w:rPr>
        <w:t>(Lambert and Ashworth, 2018)</w:t>
      </w:r>
      <w:r>
        <w:t>.</w:t>
      </w:r>
      <w:r>
        <w:br w:type="page"/>
      </w:r>
    </w:p>
    <w:p w:rsidR="001B0C4A" w:rsidRPr="00966C32" w:rsidRDefault="001B0C4A" w:rsidP="009D0447">
      <w:pPr>
        <w:pStyle w:val="ListParagraph"/>
        <w:numPr>
          <w:ilvl w:val="1"/>
          <w:numId w:val="21"/>
        </w:numPr>
        <w:spacing w:after="0" w:line="480" w:lineRule="auto"/>
        <w:rPr>
          <w:b/>
        </w:rPr>
      </w:pPr>
      <w:r w:rsidRPr="00966C32">
        <w:rPr>
          <w:b/>
        </w:rPr>
        <w:lastRenderedPageBreak/>
        <w:t>Accessibility issues</w:t>
      </w:r>
    </w:p>
    <w:p w:rsidR="001B0C4A" w:rsidRPr="009D203A" w:rsidRDefault="001B0C4A" w:rsidP="009D0447">
      <w:pPr>
        <w:pStyle w:val="ListParagraph"/>
        <w:spacing w:after="0" w:line="480" w:lineRule="auto"/>
        <w:rPr>
          <w:b/>
        </w:rPr>
      </w:pPr>
    </w:p>
    <w:p w:rsidR="001B0C4A" w:rsidRDefault="001B0C4A" w:rsidP="009D0447">
      <w:pPr>
        <w:spacing w:after="0" w:line="480" w:lineRule="auto"/>
        <w:jc w:val="both"/>
        <w:rPr>
          <w:color w:val="000000"/>
          <w:szCs w:val="26"/>
          <w:shd w:val="clear" w:color="auto" w:fill="FFFFFF"/>
        </w:rPr>
      </w:pPr>
      <w:r w:rsidRPr="00F0673E">
        <w:rPr>
          <w:color w:val="000000"/>
          <w:szCs w:val="26"/>
          <w:shd w:val="clear" w:color="auto" w:fill="FFFFFF"/>
        </w:rPr>
        <w:t xml:space="preserve">Energy accessibility is a critical consideration when assessing the distributional fairness of an energy transition </w:t>
      </w:r>
      <w:r w:rsidRPr="00F0673E">
        <w:rPr>
          <w:noProof/>
          <w:color w:val="000000"/>
          <w:szCs w:val="26"/>
          <w:shd w:val="clear" w:color="auto" w:fill="FFFFFF"/>
        </w:rPr>
        <w:t>(Goddard and Farrelly, 2018)</w:t>
      </w:r>
      <w:r w:rsidRPr="00F0673E">
        <w:rPr>
          <w:color w:val="000000"/>
          <w:szCs w:val="26"/>
          <w:shd w:val="clear" w:color="auto" w:fill="FFFFFF"/>
        </w:rPr>
        <w:t xml:space="preserve">. </w:t>
      </w:r>
      <w:r w:rsidRPr="00F0673E">
        <w:rPr>
          <w:rStyle w:val="Emphasis"/>
          <w:i w:val="0"/>
          <w:color w:val="000000"/>
          <w:szCs w:val="26"/>
          <w:bdr w:val="none" w:sz="0" w:space="0" w:color="auto" w:frame="1"/>
          <w:shd w:val="clear" w:color="auto" w:fill="FFFFFF"/>
        </w:rPr>
        <w:t>Practical and affordable methods of storage, transport and conversion are required to ensure hydrogen energy is accessible to consumers, as are appliances</w:t>
      </w:r>
      <w:r>
        <w:rPr>
          <w:rStyle w:val="Emphasis"/>
          <w:i w:val="0"/>
          <w:color w:val="000000"/>
          <w:szCs w:val="26"/>
          <w:bdr w:val="none" w:sz="0" w:space="0" w:color="auto" w:frame="1"/>
          <w:shd w:val="clear" w:color="auto" w:fill="FFFFFF"/>
        </w:rPr>
        <w:t>/vehicles</w:t>
      </w:r>
      <w:r w:rsidRPr="00F0673E">
        <w:rPr>
          <w:rStyle w:val="Emphasis"/>
          <w:i w:val="0"/>
          <w:color w:val="000000"/>
          <w:szCs w:val="26"/>
          <w:bdr w:val="none" w:sz="0" w:space="0" w:color="auto" w:frame="1"/>
          <w:shd w:val="clear" w:color="auto" w:fill="FFFFFF"/>
        </w:rPr>
        <w:t xml:space="preserve"> </w:t>
      </w:r>
      <w:r>
        <w:rPr>
          <w:rStyle w:val="Emphasis"/>
          <w:i w:val="0"/>
          <w:color w:val="000000"/>
          <w:szCs w:val="26"/>
          <w:bdr w:val="none" w:sz="0" w:space="0" w:color="auto" w:frame="1"/>
          <w:shd w:val="clear" w:color="auto" w:fill="FFFFFF"/>
        </w:rPr>
        <w:t xml:space="preserve">compatible </w:t>
      </w:r>
      <w:r w:rsidRPr="00F0673E">
        <w:rPr>
          <w:rStyle w:val="Emphasis"/>
          <w:i w:val="0"/>
          <w:color w:val="000000"/>
          <w:szCs w:val="26"/>
          <w:bdr w:val="none" w:sz="0" w:space="0" w:color="auto" w:frame="1"/>
          <w:shd w:val="clear" w:color="auto" w:fill="FFFFFF"/>
        </w:rPr>
        <w:t xml:space="preserve">with hydrogen gas </w:t>
      </w:r>
      <w:r w:rsidRPr="00F0673E">
        <w:rPr>
          <w:noProof/>
          <w:color w:val="000000"/>
          <w:szCs w:val="26"/>
          <w:shd w:val="clear" w:color="auto" w:fill="FFFFFF"/>
        </w:rPr>
        <w:t>(Milani et al., 2020)</w:t>
      </w:r>
      <w:r w:rsidRPr="00F0673E">
        <w:rPr>
          <w:color w:val="000000"/>
          <w:szCs w:val="26"/>
          <w:shd w:val="clear" w:color="auto" w:fill="FFFFFF"/>
        </w:rPr>
        <w:t>.</w:t>
      </w:r>
      <w:r>
        <w:rPr>
          <w:color w:val="000000"/>
          <w:szCs w:val="26"/>
          <w:shd w:val="clear" w:color="auto" w:fill="FFFFFF"/>
        </w:rPr>
        <w:t xml:space="preserve"> While accessibility can be improved by proximity </w:t>
      </w:r>
      <w:r>
        <w:rPr>
          <w:rStyle w:val="Emphasis"/>
          <w:i w:val="0"/>
          <w:color w:val="000000"/>
          <w:szCs w:val="26"/>
          <w:bdr w:val="none" w:sz="0" w:space="0" w:color="auto" w:frame="1"/>
          <w:shd w:val="clear" w:color="auto" w:fill="FFFFFF"/>
        </w:rPr>
        <w:t xml:space="preserve">to hydrogen storage and refuelling stations, the perception of safety risks associated with proximity to hydrogen infrastructure have been found to outweigh accessibility issues in some public acceptance studies </w:t>
      </w:r>
      <w:r>
        <w:rPr>
          <w:rStyle w:val="Emphasis"/>
          <w:i w:val="0"/>
          <w:noProof/>
          <w:color w:val="000000"/>
          <w:szCs w:val="26"/>
          <w:bdr w:val="none" w:sz="0" w:space="0" w:color="auto" w:frame="1"/>
          <w:shd w:val="clear" w:color="auto" w:fill="FFFFFF"/>
        </w:rPr>
        <w:t>(O’Garra et al., 2008)</w:t>
      </w:r>
      <w:r>
        <w:rPr>
          <w:rStyle w:val="Emphasis"/>
          <w:i w:val="0"/>
          <w:color w:val="000000"/>
          <w:szCs w:val="26"/>
          <w:bdr w:val="none" w:sz="0" w:space="0" w:color="auto" w:frame="1"/>
          <w:shd w:val="clear" w:color="auto" w:fill="FFFFFF"/>
        </w:rPr>
        <w:t>.</w:t>
      </w:r>
      <w:r w:rsidRPr="008B3BC3">
        <w:rPr>
          <w:color w:val="000000"/>
          <w:szCs w:val="26"/>
          <w:shd w:val="clear" w:color="auto" w:fill="FFFFFF"/>
        </w:rPr>
        <w:t xml:space="preserve"> </w:t>
      </w:r>
    </w:p>
    <w:p w:rsidR="001B0C4A" w:rsidRDefault="001B0C4A" w:rsidP="009D0447">
      <w:pPr>
        <w:spacing w:after="0" w:line="480" w:lineRule="auto"/>
        <w:jc w:val="both"/>
        <w:rPr>
          <w:color w:val="000000"/>
          <w:szCs w:val="26"/>
          <w:shd w:val="clear" w:color="auto" w:fill="FFFFFF"/>
        </w:rPr>
      </w:pPr>
    </w:p>
    <w:p w:rsidR="001B0C4A" w:rsidRPr="002502EB" w:rsidRDefault="001B0C4A" w:rsidP="009D0447">
      <w:pPr>
        <w:pStyle w:val="ListParagraph"/>
        <w:numPr>
          <w:ilvl w:val="1"/>
          <w:numId w:val="21"/>
        </w:numPr>
        <w:spacing w:after="0" w:line="480" w:lineRule="auto"/>
        <w:rPr>
          <w:b/>
        </w:rPr>
      </w:pPr>
      <w:r w:rsidRPr="002502EB">
        <w:rPr>
          <w:b/>
        </w:rPr>
        <w:t>Job creation benefits</w:t>
      </w:r>
    </w:p>
    <w:p w:rsidR="001B0C4A" w:rsidRPr="00454E4F" w:rsidRDefault="001B0C4A" w:rsidP="009D0447">
      <w:pPr>
        <w:pStyle w:val="ListParagraph"/>
        <w:spacing w:after="0" w:line="480" w:lineRule="auto"/>
        <w:rPr>
          <w:b/>
        </w:rPr>
      </w:pPr>
    </w:p>
    <w:p w:rsidR="001B0C4A" w:rsidRDefault="001B0C4A" w:rsidP="009D0447">
      <w:pPr>
        <w:spacing w:after="0" w:line="480" w:lineRule="auto"/>
        <w:jc w:val="both"/>
      </w:pPr>
      <w:r w:rsidRPr="001A2C12">
        <w:t xml:space="preserve">The energy transition (away from existing fossil fuel energy systems) has been framed by </w:t>
      </w:r>
      <w:r>
        <w:t>certain</w:t>
      </w:r>
      <w:r w:rsidRPr="001A2C12">
        <w:t xml:space="preserve"> groups as an issue of “jobs versus the environment/climate” </w:t>
      </w:r>
      <w:r w:rsidRPr="001A2C12">
        <w:rPr>
          <w:noProof/>
        </w:rPr>
        <w:t>(Healy and Barry, 2017, p. 454)</w:t>
      </w:r>
      <w:r w:rsidRPr="001A2C12">
        <w:t xml:space="preserve">. </w:t>
      </w:r>
      <w:r>
        <w:t xml:space="preserve">The situation in </w:t>
      </w:r>
      <w:r w:rsidRPr="001A2C12">
        <w:t>Australia is no exception</w:t>
      </w:r>
      <w:r>
        <w:t xml:space="preserve"> to this framing</w:t>
      </w:r>
      <w:r w:rsidRPr="001A2C12">
        <w:t xml:space="preserve"> </w:t>
      </w:r>
      <w:r w:rsidRPr="001A2C12">
        <w:rPr>
          <w:noProof/>
        </w:rPr>
        <w:t>(Goddard and Farrelly, 2018)</w:t>
      </w:r>
      <w:r w:rsidRPr="001A2C12">
        <w:t xml:space="preserve">. Political barriers, as well as policy uncertainty have created an environment where the </w:t>
      </w:r>
      <w:r>
        <w:t>“</w:t>
      </w:r>
      <w:r w:rsidRPr="001A2C12">
        <w:t>jobs carnage</w:t>
      </w:r>
      <w:r>
        <w:t>”</w:t>
      </w:r>
      <w:r w:rsidRPr="001A2C12">
        <w:t xml:space="preserve"> narrative has been able to thrive</w:t>
      </w:r>
      <w:r>
        <w:t>, particularly in reference to regional communities</w:t>
      </w:r>
      <w:r w:rsidRPr="001A2C12">
        <w:t xml:space="preserve"> </w:t>
      </w:r>
      <w:r w:rsidRPr="001A2C12">
        <w:rPr>
          <w:noProof/>
        </w:rPr>
        <w:t>(Curran, 2012)</w:t>
      </w:r>
      <w:r w:rsidRPr="001A2C12">
        <w:t xml:space="preserve">. In particular, the employment debate highlights that the </w:t>
      </w:r>
      <w:r>
        <w:t>transition will have employment consequences (positive and negative) that are not evenly di</w:t>
      </w:r>
      <w:r w:rsidRPr="001A2C12">
        <w:t>stribut</w:t>
      </w:r>
      <w:r>
        <w:t xml:space="preserve">ed </w:t>
      </w:r>
      <w:r w:rsidRPr="001A2C12">
        <w:rPr>
          <w:noProof/>
        </w:rPr>
        <w:t>(García-García et al., 2020; Ram et al., 2020; Sharma and Banerjee, 2021)</w:t>
      </w:r>
      <w:r w:rsidRPr="001A2C12">
        <w:t xml:space="preserve">. </w:t>
      </w:r>
      <w:r>
        <w:t>Indeed</w:t>
      </w:r>
      <w:r w:rsidRPr="002502EB">
        <w:t>,</w:t>
      </w:r>
      <w:r>
        <w:t xml:space="preserve"> in the absence of policies to support a just transition,</w:t>
      </w:r>
      <w:r w:rsidRPr="002502EB">
        <w:t xml:space="preserve"> stakeholders likely to lose their job in the current highly-regionalised fossil </w:t>
      </w:r>
      <w:proofErr w:type="gramStart"/>
      <w:r w:rsidRPr="002502EB">
        <w:t>fuel based</w:t>
      </w:r>
      <w:proofErr w:type="gramEnd"/>
      <w:r w:rsidRPr="002502EB">
        <w:t xml:space="preserve"> energy system have an incentive to hinder the development of new energy industries</w:t>
      </w:r>
      <w:r>
        <w:t xml:space="preserve"> </w:t>
      </w:r>
      <w:r w:rsidRPr="002502EB">
        <w:rPr>
          <w:noProof/>
        </w:rPr>
        <w:t>(Effendi and Courvisanos, 2012)</w:t>
      </w:r>
      <w:r w:rsidRPr="002502EB">
        <w:t xml:space="preserve">. However, stakeholders </w:t>
      </w:r>
      <w:r>
        <w:t>able to</w:t>
      </w:r>
      <w:r w:rsidRPr="002502EB">
        <w:t xml:space="preserve"> access new employment opportunities have been more willing to grant social licences to other energy developments, and </w:t>
      </w:r>
      <w:r>
        <w:t xml:space="preserve">could be expected to </w:t>
      </w:r>
      <w:r w:rsidRPr="002502EB">
        <w:t xml:space="preserve">act similarly in </w:t>
      </w:r>
      <w:r>
        <w:t xml:space="preserve">a </w:t>
      </w:r>
      <w:r w:rsidRPr="002502EB">
        <w:t xml:space="preserve">transition to hydrogen </w:t>
      </w:r>
      <w:r w:rsidRPr="002502EB">
        <w:rPr>
          <w:noProof/>
        </w:rPr>
        <w:t>(Marcos-Martinez et al., 2019; Richert et al., 2015)</w:t>
      </w:r>
      <w:r w:rsidRPr="002502EB">
        <w:t>.</w:t>
      </w:r>
      <w:r w:rsidRPr="001A2C12">
        <w:t xml:space="preserve"> </w:t>
      </w:r>
    </w:p>
    <w:p w:rsidR="001B0C4A" w:rsidRDefault="001B0C4A" w:rsidP="009D0447">
      <w:pPr>
        <w:spacing w:after="0" w:line="480" w:lineRule="auto"/>
        <w:jc w:val="both"/>
      </w:pPr>
    </w:p>
    <w:p w:rsidR="001B0C4A" w:rsidRPr="00824758" w:rsidRDefault="001B0C4A" w:rsidP="009D0447">
      <w:pPr>
        <w:spacing w:after="0" w:line="480" w:lineRule="auto"/>
        <w:jc w:val="both"/>
      </w:pPr>
      <w:r>
        <w:lastRenderedPageBreak/>
        <w:t>Based on the literature summarised above, the following four key hypotheses were formulated for this research.</w:t>
      </w:r>
    </w:p>
    <w:p w:rsidR="001B0C4A" w:rsidRDefault="001B0C4A" w:rsidP="009D0447">
      <w:pPr>
        <w:spacing w:after="0" w:line="480" w:lineRule="auto"/>
        <w:ind w:left="426" w:hanging="426"/>
        <w:jc w:val="both"/>
        <w:rPr>
          <w:i/>
        </w:rPr>
      </w:pPr>
      <w:r w:rsidRPr="00B95856">
        <w:rPr>
          <w:i/>
        </w:rPr>
        <w:t xml:space="preserve">H1: </w:t>
      </w:r>
      <w:r>
        <w:rPr>
          <w:i/>
        </w:rPr>
        <w:t xml:space="preserve">Socio-demographic and attitudinal characteristics that have been associated with overall hydrogen acceptance will also influence the characteristics of a hydrogen industry that individuals consider most important. </w:t>
      </w:r>
    </w:p>
    <w:p w:rsidR="001B0C4A" w:rsidRPr="009C1522" w:rsidRDefault="001B0C4A" w:rsidP="009D0447">
      <w:pPr>
        <w:spacing w:after="0" w:line="480" w:lineRule="auto"/>
        <w:ind w:left="426" w:hanging="426"/>
        <w:jc w:val="both"/>
        <w:rPr>
          <w:i/>
        </w:rPr>
      </w:pPr>
      <w:bookmarkStart w:id="2" w:name="_Hlk76385358"/>
      <w:r w:rsidRPr="00A837CE">
        <w:rPr>
          <w:i/>
        </w:rPr>
        <w:t>H2: Individuals with greater self-rated knowledge of hydrogen</w:t>
      </w:r>
      <w:r>
        <w:rPr>
          <w:i/>
        </w:rPr>
        <w:t>,</w:t>
      </w:r>
      <w:r w:rsidRPr="009C1522">
        <w:rPr>
          <w:i/>
        </w:rPr>
        <w:t xml:space="preserve"> how it is produced and how it can be used, </w:t>
      </w:r>
      <w:r>
        <w:rPr>
          <w:i/>
        </w:rPr>
        <w:t>will</w:t>
      </w:r>
      <w:r w:rsidRPr="009C1522">
        <w:rPr>
          <w:i/>
        </w:rPr>
        <w:t xml:space="preserve"> be</w:t>
      </w:r>
      <w:r>
        <w:rPr>
          <w:i/>
        </w:rPr>
        <w:t xml:space="preserve"> </w:t>
      </w:r>
      <w:r w:rsidRPr="009C1522">
        <w:rPr>
          <w:i/>
        </w:rPr>
        <w:t>less likely to place</w:t>
      </w:r>
      <w:r>
        <w:rPr>
          <w:i/>
        </w:rPr>
        <w:t xml:space="preserve"> greater weighting on </w:t>
      </w:r>
      <w:r w:rsidRPr="009C1522">
        <w:rPr>
          <w:i/>
        </w:rPr>
        <w:t>safety</w:t>
      </w:r>
      <w:r>
        <w:rPr>
          <w:i/>
        </w:rPr>
        <w:t xml:space="preserve"> as an </w:t>
      </w:r>
      <w:r w:rsidRPr="009C1522">
        <w:rPr>
          <w:i/>
        </w:rPr>
        <w:t>importan</w:t>
      </w:r>
      <w:r>
        <w:rPr>
          <w:i/>
        </w:rPr>
        <w:t>t</w:t>
      </w:r>
      <w:r w:rsidRPr="009C1522">
        <w:rPr>
          <w:i/>
        </w:rPr>
        <w:t xml:space="preserve"> characteristic</w:t>
      </w:r>
      <w:r>
        <w:rPr>
          <w:i/>
        </w:rPr>
        <w:t xml:space="preserve"> of a hydrogen industry</w:t>
      </w:r>
      <w:r w:rsidRPr="009C1522">
        <w:rPr>
          <w:i/>
        </w:rPr>
        <w:t>.</w:t>
      </w:r>
      <w:r w:rsidRPr="003A4F3D">
        <w:rPr>
          <w:highlight w:val="yellow"/>
        </w:rPr>
        <w:t xml:space="preserve"> </w:t>
      </w:r>
    </w:p>
    <w:bookmarkEnd w:id="2"/>
    <w:p w:rsidR="001B0C4A" w:rsidRPr="00BA4EED" w:rsidRDefault="001B0C4A" w:rsidP="009D0447">
      <w:pPr>
        <w:spacing w:after="0" w:line="480" w:lineRule="auto"/>
        <w:ind w:left="426" w:hanging="426"/>
        <w:jc w:val="both"/>
        <w:rPr>
          <w:i/>
        </w:rPr>
      </w:pPr>
      <w:r w:rsidRPr="00BA4EED">
        <w:rPr>
          <w:i/>
        </w:rPr>
        <w:t>H</w:t>
      </w:r>
      <w:r>
        <w:rPr>
          <w:i/>
        </w:rPr>
        <w:t>3</w:t>
      </w:r>
      <w:r w:rsidRPr="00BA4EED">
        <w:rPr>
          <w:i/>
        </w:rPr>
        <w:t xml:space="preserve">: Individuals </w:t>
      </w:r>
      <w:r>
        <w:rPr>
          <w:i/>
        </w:rPr>
        <w:t xml:space="preserve">who are more concerned about climate change (e.g. agree </w:t>
      </w:r>
      <w:r w:rsidRPr="00BA4EED">
        <w:rPr>
          <w:i/>
        </w:rPr>
        <w:t>that climate change is occurring,</w:t>
      </w:r>
      <w:r>
        <w:rPr>
          <w:i/>
        </w:rPr>
        <w:t xml:space="preserve"> that it is</w:t>
      </w:r>
      <w:r w:rsidRPr="00BA4EED">
        <w:rPr>
          <w:i/>
        </w:rPr>
        <w:t xml:space="preserve"> largely human</w:t>
      </w:r>
      <w:r>
        <w:rPr>
          <w:i/>
        </w:rPr>
        <w:t>-</w:t>
      </w:r>
      <w:r w:rsidRPr="00BA4EED">
        <w:rPr>
          <w:i/>
        </w:rPr>
        <w:t>induced and li</w:t>
      </w:r>
      <w:r>
        <w:rPr>
          <w:i/>
        </w:rPr>
        <w:t>k</w:t>
      </w:r>
      <w:r w:rsidRPr="00BA4EED">
        <w:rPr>
          <w:i/>
        </w:rPr>
        <w:t>ely to have negative impacts o</w:t>
      </w:r>
      <w:r>
        <w:rPr>
          <w:i/>
        </w:rPr>
        <w:t>n</w:t>
      </w:r>
      <w:r w:rsidRPr="00BA4EED">
        <w:rPr>
          <w:i/>
        </w:rPr>
        <w:t xml:space="preserve"> their household</w:t>
      </w:r>
      <w:r>
        <w:rPr>
          <w:i/>
        </w:rPr>
        <w:t>s)</w:t>
      </w:r>
      <w:r w:rsidRPr="00BA4EED">
        <w:rPr>
          <w:i/>
        </w:rPr>
        <w:t xml:space="preserve"> </w:t>
      </w:r>
      <w:r>
        <w:rPr>
          <w:i/>
        </w:rPr>
        <w:t>will</w:t>
      </w:r>
      <w:r w:rsidRPr="00BA4EED">
        <w:rPr>
          <w:i/>
        </w:rPr>
        <w:t xml:space="preserve"> </w:t>
      </w:r>
      <w:r>
        <w:rPr>
          <w:i/>
        </w:rPr>
        <w:t xml:space="preserve">be more likely to </w:t>
      </w:r>
      <w:r w:rsidRPr="00BA4EED">
        <w:rPr>
          <w:i/>
        </w:rPr>
        <w:t xml:space="preserve">allocate </w:t>
      </w:r>
      <w:r>
        <w:rPr>
          <w:i/>
        </w:rPr>
        <w:t>greater</w:t>
      </w:r>
      <w:r w:rsidRPr="00BA4EED">
        <w:rPr>
          <w:i/>
        </w:rPr>
        <w:t xml:space="preserve"> weighting to climate chan</w:t>
      </w:r>
      <w:r>
        <w:rPr>
          <w:i/>
        </w:rPr>
        <w:t>g</w:t>
      </w:r>
      <w:r w:rsidRPr="00BA4EED">
        <w:rPr>
          <w:i/>
        </w:rPr>
        <w:t xml:space="preserve">e mitigation as an important characteristic of a hydrogen industry. </w:t>
      </w:r>
    </w:p>
    <w:p w:rsidR="001B0C4A" w:rsidRDefault="001B0C4A" w:rsidP="009D0447">
      <w:pPr>
        <w:spacing w:after="0" w:line="480" w:lineRule="auto"/>
        <w:ind w:left="426" w:hanging="426"/>
        <w:jc w:val="both"/>
        <w:rPr>
          <w:i/>
        </w:rPr>
      </w:pPr>
      <w:r w:rsidRPr="00CD55B1">
        <w:rPr>
          <w:i/>
        </w:rPr>
        <w:t>H</w:t>
      </w:r>
      <w:r>
        <w:rPr>
          <w:i/>
        </w:rPr>
        <w:t>4</w:t>
      </w:r>
      <w:r w:rsidRPr="00CD55B1">
        <w:rPr>
          <w:i/>
        </w:rPr>
        <w:t xml:space="preserve">: </w:t>
      </w:r>
      <w:r>
        <w:rPr>
          <w:i/>
        </w:rPr>
        <w:t>Individuals most likely to benefit from job opportunities in the hydrogen industry (e.g. individuals of working age, with trade qualifications, living in regional areas with potential for hydrogen production sites) will be more likely to allocate greater weighting to job creation as an important characteristic of a hydrogen industry.</w:t>
      </w:r>
    </w:p>
    <w:p w:rsidR="001B0C4A" w:rsidRPr="00050A96" w:rsidRDefault="001B0C4A" w:rsidP="009D0447">
      <w:pPr>
        <w:spacing w:after="0" w:line="480" w:lineRule="auto"/>
        <w:ind w:left="426" w:hanging="426"/>
        <w:jc w:val="both"/>
        <w:rPr>
          <w:i/>
        </w:rPr>
      </w:pPr>
    </w:p>
    <w:p w:rsidR="001B0C4A" w:rsidRDefault="001B0C4A" w:rsidP="009D0447">
      <w:pPr>
        <w:pStyle w:val="ListParagraph"/>
        <w:numPr>
          <w:ilvl w:val="0"/>
          <w:numId w:val="1"/>
        </w:numPr>
        <w:spacing w:after="0" w:line="480" w:lineRule="auto"/>
        <w:ind w:left="426" w:hanging="426"/>
        <w:rPr>
          <w:b/>
        </w:rPr>
      </w:pPr>
      <w:r w:rsidRPr="00824758">
        <w:rPr>
          <w:b/>
        </w:rPr>
        <w:t>Methods</w:t>
      </w:r>
    </w:p>
    <w:p w:rsidR="001B0C4A" w:rsidRPr="003E600B" w:rsidRDefault="001B0C4A" w:rsidP="009D0447">
      <w:pPr>
        <w:spacing w:after="0" w:line="480" w:lineRule="auto"/>
      </w:pPr>
    </w:p>
    <w:p w:rsidR="001B0C4A" w:rsidRDefault="001B0C4A" w:rsidP="009D0447">
      <w:pPr>
        <w:spacing w:after="0" w:line="480" w:lineRule="auto"/>
        <w:ind w:left="709" w:hanging="283"/>
        <w:rPr>
          <w:b/>
        </w:rPr>
      </w:pPr>
      <w:r>
        <w:rPr>
          <w:b/>
        </w:rPr>
        <w:t>3.1 Data and case study area</w:t>
      </w:r>
    </w:p>
    <w:p w:rsidR="001B0C4A" w:rsidRDefault="001B0C4A" w:rsidP="009D0447">
      <w:pPr>
        <w:spacing w:after="0" w:line="480" w:lineRule="auto"/>
        <w:rPr>
          <w:b/>
        </w:rPr>
      </w:pPr>
    </w:p>
    <w:p w:rsidR="001B0C4A" w:rsidRDefault="001B0C4A" w:rsidP="009D0447">
      <w:pPr>
        <w:autoSpaceDE w:val="0"/>
        <w:autoSpaceDN w:val="0"/>
        <w:adjustRightInd w:val="0"/>
        <w:spacing w:after="0" w:line="480" w:lineRule="auto"/>
        <w:jc w:val="both"/>
        <w:rPr>
          <w:rFonts w:ascii="Calibri" w:hAnsi="Calibri" w:cs="Calibri"/>
        </w:rPr>
      </w:pPr>
      <w:r w:rsidRPr="00DE58C5">
        <w:t>A</w:t>
      </w:r>
      <w:r>
        <w:t>n online</w:t>
      </w:r>
      <w:r w:rsidRPr="00DE58C5">
        <w:t xml:space="preserve"> survey</w:t>
      </w:r>
      <w:r>
        <w:t>,</w:t>
      </w:r>
      <w:r w:rsidRPr="00DE58C5">
        <w:t xml:space="preserve"> </w:t>
      </w:r>
      <w:r>
        <w:t xml:space="preserve">deployed by a professional survey company, </w:t>
      </w:r>
      <w:r w:rsidRPr="00DE58C5">
        <w:t xml:space="preserve">was used to </w:t>
      </w:r>
      <w:r>
        <w:t>capture</w:t>
      </w:r>
      <w:r w:rsidRPr="00DE58C5">
        <w:t xml:space="preserve"> </w:t>
      </w:r>
      <w:r>
        <w:t>individuals’ understanding of—and</w:t>
      </w:r>
      <w:r w:rsidRPr="00DE58C5">
        <w:t xml:space="preserve"> preferences for</w:t>
      </w:r>
      <w:r>
        <w:t>—</w:t>
      </w:r>
      <w:r w:rsidRPr="00DE58C5">
        <w:t xml:space="preserve">a transition to hydrogen energy </w:t>
      </w:r>
      <w:r>
        <w:t>production and use</w:t>
      </w:r>
      <w:r w:rsidRPr="00DE58C5">
        <w:t xml:space="preserve"> in Australia.</w:t>
      </w:r>
      <w:r>
        <w:t xml:space="preserve"> </w:t>
      </w:r>
      <w:r w:rsidRPr="008161B9">
        <w:t>Ethics approval</w:t>
      </w:r>
      <w:r>
        <w:t xml:space="preserve"> to conduct the survey, and research tasks for survey design,</w:t>
      </w:r>
      <w:r w:rsidRPr="008161B9">
        <w:t xml:space="preserve"> was provided by the University of Adelaide Human Research Ethics Committee (H-20</w:t>
      </w:r>
      <w:r>
        <w:t>20</w:t>
      </w:r>
      <w:r w:rsidRPr="008161B9">
        <w:t>-1</w:t>
      </w:r>
      <w:r>
        <w:t>01</w:t>
      </w:r>
      <w:r w:rsidRPr="008161B9">
        <w:t>).</w:t>
      </w:r>
      <w:r>
        <w:t xml:space="preserve"> A representative sample (age and gender), and a split of metropolitan/regional residents of South Australia and Victoria was provided by the professional survey company. A total of 2032 survey responses were received in</w:t>
      </w:r>
      <w:r w:rsidRPr="0005350A">
        <w:t xml:space="preserve"> October and </w:t>
      </w:r>
      <w:r>
        <w:t xml:space="preserve">November </w:t>
      </w:r>
      <w:r w:rsidRPr="0005350A">
        <w:t>2020</w:t>
      </w:r>
      <w:r>
        <w:t xml:space="preserve">. </w:t>
      </w:r>
      <w:r w:rsidRPr="00203834">
        <w:t xml:space="preserve">Because of </w:t>
      </w:r>
      <w:r w:rsidRPr="00203834">
        <w:lastRenderedPageBreak/>
        <w:t xml:space="preserve">missing responses to some questions, the </w:t>
      </w:r>
      <w:r>
        <w:t xml:space="preserve">analyses reported are based on the </w:t>
      </w:r>
      <w:r w:rsidRPr="00203834">
        <w:t>1824</w:t>
      </w:r>
      <w:r>
        <w:t xml:space="preserve"> responses (897 from South Australia and 927 from Victoria) that had complete information</w:t>
      </w:r>
      <w:r w:rsidRPr="00203834">
        <w:t>.</w:t>
      </w:r>
    </w:p>
    <w:p w:rsidR="001B0C4A" w:rsidRDefault="001B0C4A" w:rsidP="009D0447">
      <w:pPr>
        <w:autoSpaceDE w:val="0"/>
        <w:autoSpaceDN w:val="0"/>
        <w:adjustRightInd w:val="0"/>
        <w:spacing w:after="0" w:line="480" w:lineRule="auto"/>
        <w:jc w:val="both"/>
      </w:pPr>
    </w:p>
    <w:p w:rsidR="001B0C4A" w:rsidRDefault="001B0C4A" w:rsidP="009D0447">
      <w:pPr>
        <w:spacing w:after="0" w:line="480" w:lineRule="auto"/>
        <w:jc w:val="both"/>
      </w:pPr>
      <w:r w:rsidRPr="00030850">
        <w:t xml:space="preserve">There were </w:t>
      </w:r>
      <w:r>
        <w:t>three</w:t>
      </w:r>
      <w:r w:rsidRPr="00030850">
        <w:t xml:space="preserve"> key </w:t>
      </w:r>
      <w:r>
        <w:t>reasons why south-eastern Australia (South Australia and Victoria) was chosen as a case study</w:t>
      </w:r>
      <w:r w:rsidRPr="00030850">
        <w:t xml:space="preserve">: (1) both states were relatively early movers with respect to supporting hydrogen developments </w:t>
      </w:r>
      <w:r>
        <w:rPr>
          <w:noProof/>
        </w:rPr>
        <w:t>(Government of South Australia, 2019; Victorian State Government, 2019)</w:t>
      </w:r>
      <w:r w:rsidRPr="00030850">
        <w:t xml:space="preserve">; (2) </w:t>
      </w:r>
      <w:r>
        <w:t>South Australia’s</w:t>
      </w:r>
      <w:r w:rsidRPr="00030850">
        <w:t xml:space="preserve"> move to adopt more renewable energy, and become a net exporter of e</w:t>
      </w:r>
      <w:r>
        <w:t xml:space="preserve">lectricity </w:t>
      </w:r>
      <w:r>
        <w:rPr>
          <w:noProof/>
        </w:rPr>
        <w:t>(McGreevy et al., 2021)</w:t>
      </w:r>
      <w:r w:rsidRPr="00030850">
        <w:t xml:space="preserve"> presents an opportunity to capture the </w:t>
      </w:r>
      <w:r>
        <w:t>public</w:t>
      </w:r>
      <w:r w:rsidRPr="00030850">
        <w:t>’s experiences with this transition; and (</w:t>
      </w:r>
      <w:r>
        <w:t>3</w:t>
      </w:r>
      <w:r w:rsidRPr="00030850">
        <w:t xml:space="preserve">) there is a diverse (in terms of age, ownership and management) set of </w:t>
      </w:r>
      <w:r>
        <w:t>energy</w:t>
      </w:r>
      <w:r w:rsidRPr="00030850">
        <w:t xml:space="preserve"> </w:t>
      </w:r>
      <w:r>
        <w:t xml:space="preserve">infrastructure </w:t>
      </w:r>
      <w:r>
        <w:rPr>
          <w:noProof/>
        </w:rPr>
        <w:t>(Australian Energy Regulator, 2021)</w:t>
      </w:r>
      <w:r>
        <w:t xml:space="preserve">, </w:t>
      </w:r>
      <w:r w:rsidRPr="00030850">
        <w:t xml:space="preserve">across </w:t>
      </w:r>
      <w:r>
        <w:t>both</w:t>
      </w:r>
      <w:r w:rsidRPr="00030850">
        <w:t xml:space="preserve"> states that present opportunities for compari</w:t>
      </w:r>
      <w:r>
        <w:t>sons of public experiences</w:t>
      </w:r>
      <w:r w:rsidRPr="00030850">
        <w:t xml:space="preserve"> that may underpin a social licence for future fuels industries</w:t>
      </w:r>
      <w:r>
        <w:t>.</w:t>
      </w:r>
      <w:r w:rsidRPr="00601FEC">
        <w:t xml:space="preserve"> </w:t>
      </w:r>
    </w:p>
    <w:p w:rsidR="001B0C4A" w:rsidRDefault="001B0C4A" w:rsidP="009D0447">
      <w:pPr>
        <w:spacing w:after="0" w:line="480" w:lineRule="auto"/>
        <w:jc w:val="both"/>
        <w:rPr>
          <w:highlight w:val="yellow"/>
        </w:rPr>
      </w:pPr>
    </w:p>
    <w:p w:rsidR="001B0C4A" w:rsidRDefault="001B0C4A" w:rsidP="009D0447">
      <w:pPr>
        <w:spacing w:after="0" w:line="480" w:lineRule="auto"/>
        <w:jc w:val="both"/>
      </w:pPr>
      <w:r>
        <w:t>The s</w:t>
      </w:r>
      <w:r w:rsidRPr="007249B3">
        <w:t xml:space="preserve">urvey design was informed by </w:t>
      </w:r>
      <w:r>
        <w:t xml:space="preserve">a literature review, as summarised previously, plus a </w:t>
      </w:r>
      <w:r w:rsidRPr="007249B3">
        <w:t xml:space="preserve">focus group and </w:t>
      </w:r>
      <w:r>
        <w:t xml:space="preserve">22 personal </w:t>
      </w:r>
      <w:r w:rsidRPr="007249B3">
        <w:t>interviews.</w:t>
      </w:r>
      <w:r>
        <w:t xml:space="preserve"> Questions in the survey were designed to collect information about respondents’: (1) socio-demographic characteristics; (2) environmental attitudes and behaviours; (3) energy use behaviours; and (4) perceived knowledge of the hydrogen energy industry in Australia. The question in the survey that is most important for this study asked </w:t>
      </w:r>
      <w:r w:rsidRPr="004F1647">
        <w:t xml:space="preserve">respondents to allocate 100 points </w:t>
      </w:r>
      <w:r>
        <w:t>among</w:t>
      </w:r>
      <w:r w:rsidRPr="004F1647">
        <w:t xml:space="preserve"> six characteristics that may be important in their decision to support </w:t>
      </w:r>
      <w:r>
        <w:t xml:space="preserve">(or not support) </w:t>
      </w:r>
      <w:r w:rsidRPr="004F1647">
        <w:t>the development of a hydrogen industry in Australia.</w:t>
      </w:r>
      <w:r>
        <w:t xml:space="preserve"> The six characteristics, as previously noted, were: (1) safety; (2) climate change mitigation; (3) affordability; (4) reliability and security of supply; (5) accessibility; and (6) job creation. These characteristics were tested prior to undertaking the online survey. Respondents were instructed to allocate more points to characteristics more important to them, and to allocate zero points to characteristics they considered ‘not at all important’. The question design was informed by similar weighting questions in </w:t>
      </w:r>
      <w:proofErr w:type="gramStart"/>
      <w:r>
        <w:t>survey based</w:t>
      </w:r>
      <w:proofErr w:type="gramEnd"/>
      <w:r>
        <w:t xml:space="preserve"> research by </w:t>
      </w:r>
      <w:r>
        <w:rPr>
          <w:noProof/>
        </w:rPr>
        <w:t>Loch et al. (2016)</w:t>
      </w:r>
      <w:r>
        <w:t xml:space="preserve"> and </w:t>
      </w:r>
      <w:r>
        <w:rPr>
          <w:noProof/>
        </w:rPr>
        <w:t>Malek and Umberger (2021)</w:t>
      </w:r>
      <w:r>
        <w:t>. The question, as administered in the survey is included as Figure S1 in Supplementary Materials.</w:t>
      </w:r>
    </w:p>
    <w:p w:rsidR="001B0C4A" w:rsidRDefault="001B0C4A" w:rsidP="009D0447">
      <w:pPr>
        <w:spacing w:after="0" w:line="480" w:lineRule="auto"/>
        <w:jc w:val="both"/>
      </w:pPr>
      <w:r w:rsidRPr="00D46153">
        <w:lastRenderedPageBreak/>
        <w:t xml:space="preserve">Point allocation questions (sometimes referred to as budget pie or constant-sum scaling questions) have been shown to be a reliable way to ask respondents to indicate relative intensity of preference </w:t>
      </w:r>
      <w:r w:rsidRPr="00D46153">
        <w:rPr>
          <w:noProof/>
        </w:rPr>
        <w:t>(Mullen, 1999)</w:t>
      </w:r>
      <w:r w:rsidRPr="00D46153">
        <w:t xml:space="preserve">. They are also relativity easy for respondents to </w:t>
      </w:r>
      <w:proofErr w:type="gramStart"/>
      <w:r w:rsidRPr="00D46153">
        <w:t xml:space="preserve">complete  </w:t>
      </w:r>
      <w:r w:rsidRPr="00D46153">
        <w:rPr>
          <w:noProof/>
        </w:rPr>
        <w:t>(</w:t>
      </w:r>
      <w:proofErr w:type="gramEnd"/>
      <w:r w:rsidRPr="00D46153">
        <w:rPr>
          <w:noProof/>
        </w:rPr>
        <w:t>Ryan et al., 2001)</w:t>
      </w:r>
      <w:r w:rsidRPr="00D46153">
        <w:t xml:space="preserve">. </w:t>
      </w:r>
      <w:r w:rsidRPr="00D46153">
        <w:rPr>
          <w:rFonts w:hint="eastAsia"/>
        </w:rPr>
        <w:t xml:space="preserve">Constrained-choice methods </w:t>
      </w:r>
      <w:r w:rsidRPr="00D46153">
        <w:t>such as the point allocation question are appropriate when</w:t>
      </w:r>
      <w:r>
        <w:t>, as in this situation,</w:t>
      </w:r>
      <w:r w:rsidRPr="00D46153">
        <w:t xml:space="preserve"> </w:t>
      </w:r>
      <w:r w:rsidRPr="00D46153">
        <w:rPr>
          <w:rFonts w:hint="eastAsia"/>
        </w:rPr>
        <w:t>options are in competition and/or</w:t>
      </w:r>
      <w:r w:rsidRPr="00D46153">
        <w:t xml:space="preserve"> the objective is to understand respondents’ </w:t>
      </w:r>
      <w:r>
        <w:t>willingness</w:t>
      </w:r>
      <w:r w:rsidRPr="00D46153">
        <w:t xml:space="preserve"> to make, or not make, </w:t>
      </w:r>
      <w:r w:rsidRPr="00D46153">
        <w:rPr>
          <w:rFonts w:hint="eastAsia"/>
        </w:rPr>
        <w:t>trade-of</w:t>
      </w:r>
      <w:r w:rsidRPr="00D46153">
        <w:t>fs</w:t>
      </w:r>
      <w:r w:rsidRPr="00D46153">
        <w:rPr>
          <w:rFonts w:hint="eastAsia"/>
        </w:rPr>
        <w:t>.</w:t>
      </w:r>
      <w:r w:rsidRPr="00D46153">
        <w:t xml:space="preserve"> Constrained-choice methods also </w:t>
      </w:r>
      <w:r w:rsidRPr="004B19F6">
        <w:t>ensure inter-person equity</w:t>
      </w:r>
      <w:r w:rsidRPr="00D46153">
        <w:t xml:space="preserve"> when scores are aggregated for analyses </w:t>
      </w:r>
      <w:r w:rsidRPr="00D46153">
        <w:rPr>
          <w:noProof/>
        </w:rPr>
        <w:t>(Mullen, 1999)</w:t>
      </w:r>
      <w:r w:rsidRPr="00D46153">
        <w:t>. For this survey, each characteristic was framed in reference to current energy circumstances</w:t>
      </w:r>
      <w:r>
        <w:t xml:space="preserve"> because </w:t>
      </w:r>
      <w:r w:rsidRPr="00D46153">
        <w:t xml:space="preserve">respondents’ answers are context-dependent </w:t>
      </w:r>
      <w:r w:rsidRPr="00D46153">
        <w:rPr>
          <w:noProof/>
        </w:rPr>
        <w:t>(Louviere and Islam, 2008)</w:t>
      </w:r>
      <w:r w:rsidRPr="00D46153">
        <w:t xml:space="preserve">. For example, for ‘safety’ respondents were asked about the importance of safety of any future hydrogen energy industry relative to their perceptions of </w:t>
      </w:r>
      <w:r>
        <w:t xml:space="preserve">the </w:t>
      </w:r>
      <w:r w:rsidRPr="00D46153">
        <w:t>safety of production, storage, transport and use of existing fuels.</w:t>
      </w:r>
    </w:p>
    <w:p w:rsidR="001B0C4A" w:rsidRDefault="001B0C4A" w:rsidP="009D0447">
      <w:pPr>
        <w:spacing w:after="0" w:line="480" w:lineRule="auto"/>
        <w:jc w:val="both"/>
      </w:pPr>
    </w:p>
    <w:p w:rsidR="001B0C4A" w:rsidRDefault="001B0C4A" w:rsidP="009D0447">
      <w:pPr>
        <w:spacing w:after="0" w:line="480" w:lineRule="auto"/>
        <w:jc w:val="both"/>
      </w:pPr>
      <w:r w:rsidRPr="00B0054F">
        <w:t xml:space="preserve">By choosing six characteristics </w:t>
      </w:r>
      <w:r>
        <w:t xml:space="preserve">only, </w:t>
      </w:r>
      <w:r w:rsidRPr="00B0054F">
        <w:t xml:space="preserve">the choice task for respondents was easier than if more characteristics were </w:t>
      </w:r>
      <w:r>
        <w:t>provided</w:t>
      </w:r>
      <w:r w:rsidRPr="00B0054F">
        <w:t>. However, a consequence of this</w:t>
      </w:r>
      <w:r>
        <w:t xml:space="preserve"> limited choice set</w:t>
      </w:r>
      <w:r w:rsidRPr="00B0054F">
        <w:t xml:space="preserve"> is that the responses cannot provide preference information on a </w:t>
      </w:r>
      <w:r>
        <w:t xml:space="preserve">total </w:t>
      </w:r>
      <w:r w:rsidRPr="00B0054F">
        <w:t xml:space="preserve">comprehensive list of influential characteristics. The order that the six characteristics were presented to respondents in the </w:t>
      </w:r>
      <w:r>
        <w:t xml:space="preserve">online </w:t>
      </w:r>
      <w:r w:rsidRPr="00B0054F">
        <w:t>survey was random</w:t>
      </w:r>
      <w:r>
        <w:t>ised</w:t>
      </w:r>
      <w:r w:rsidRPr="00B0054F">
        <w:t>. This was done to remove any bias that could have been associated with respondents allocating</w:t>
      </w:r>
      <w:r>
        <w:t xml:space="preserve"> greater</w:t>
      </w:r>
      <w:r w:rsidRPr="00B0054F">
        <w:t xml:space="preserve"> points to the first listed characteristic.</w:t>
      </w:r>
    </w:p>
    <w:p w:rsidR="001B0C4A" w:rsidRDefault="001B0C4A" w:rsidP="009D0447">
      <w:pPr>
        <w:pStyle w:val="ListParagraph"/>
        <w:spacing w:line="480" w:lineRule="auto"/>
        <w:ind w:left="360"/>
        <w:jc w:val="both"/>
        <w:rPr>
          <w:b/>
        </w:rPr>
      </w:pPr>
    </w:p>
    <w:p w:rsidR="001B0C4A" w:rsidRDefault="001B0C4A" w:rsidP="009D0447">
      <w:pPr>
        <w:pStyle w:val="ListParagraph"/>
        <w:numPr>
          <w:ilvl w:val="1"/>
          <w:numId w:val="19"/>
        </w:numPr>
        <w:spacing w:after="0" w:line="480" w:lineRule="auto"/>
        <w:ind w:left="714" w:hanging="357"/>
        <w:jc w:val="both"/>
        <w:rPr>
          <w:b/>
        </w:rPr>
      </w:pPr>
      <w:r>
        <w:rPr>
          <w:b/>
        </w:rPr>
        <w:t>M</w:t>
      </w:r>
      <w:r w:rsidRPr="00454E4F">
        <w:rPr>
          <w:b/>
        </w:rPr>
        <w:t>odel specification</w:t>
      </w:r>
    </w:p>
    <w:p w:rsidR="001B0C4A" w:rsidRPr="00454E4F" w:rsidRDefault="001B0C4A" w:rsidP="009D0447">
      <w:pPr>
        <w:pStyle w:val="ListParagraph"/>
        <w:spacing w:after="0" w:line="480" w:lineRule="auto"/>
        <w:ind w:left="714"/>
        <w:jc w:val="both"/>
        <w:rPr>
          <w:b/>
        </w:rPr>
      </w:pPr>
    </w:p>
    <w:p w:rsidR="001B0C4A" w:rsidRDefault="001B0C4A" w:rsidP="009D0447">
      <w:pPr>
        <w:spacing w:after="0" w:line="480" w:lineRule="auto"/>
        <w:jc w:val="both"/>
      </w:pPr>
      <w:r>
        <w:t>Given respondents were asked to</w:t>
      </w:r>
      <w:r w:rsidRPr="007D07BD">
        <w:t xml:space="preserve"> indicate preferences and trade-offs </w:t>
      </w:r>
      <w:r>
        <w:t>by</w:t>
      </w:r>
      <w:r w:rsidRPr="007D07BD">
        <w:t xml:space="preserve"> allocat</w:t>
      </w:r>
      <w:r>
        <w:t>ing</w:t>
      </w:r>
      <w:r w:rsidRPr="007D07BD">
        <w:t xml:space="preserve"> a set budget of 100 points </w:t>
      </w:r>
      <w:r>
        <w:t>between six</w:t>
      </w:r>
      <w:r w:rsidRPr="007D07BD">
        <w:t xml:space="preserve"> different </w:t>
      </w:r>
      <w:r>
        <w:t xml:space="preserve">hydrogen industry </w:t>
      </w:r>
      <w:r w:rsidRPr="007D07BD">
        <w:t>characteristics</w:t>
      </w:r>
      <w:r>
        <w:t>, the data for analysis is</w:t>
      </w:r>
      <w:r w:rsidRPr="007D07BD">
        <w:t xml:space="preserve"> proportion</w:t>
      </w:r>
      <w:r>
        <w:t>al</w:t>
      </w:r>
      <w:r w:rsidRPr="007D07BD">
        <w:t>.</w:t>
      </w:r>
      <w:r>
        <w:t xml:space="preserve"> </w:t>
      </w:r>
      <w:r w:rsidRPr="007D07BD">
        <w:t xml:space="preserve">Proportional data has a </w:t>
      </w:r>
      <w:r>
        <w:t xml:space="preserve">set </w:t>
      </w:r>
      <w:r w:rsidRPr="007D07BD">
        <w:t xml:space="preserve">of unique traits that must be considered </w:t>
      </w:r>
      <w:r>
        <w:t>ahead of</w:t>
      </w:r>
      <w:r w:rsidRPr="007D07BD">
        <w:t xml:space="preserve"> analysis</w:t>
      </w:r>
      <w:r>
        <w:t xml:space="preserve"> </w:t>
      </w:r>
      <w:r>
        <w:rPr>
          <w:noProof/>
        </w:rPr>
        <w:t>(Aitchison, 1986; Cook et al., 2008)</w:t>
      </w:r>
      <w:r w:rsidRPr="007D07BD">
        <w:t xml:space="preserve">. First, </w:t>
      </w:r>
      <w:r>
        <w:t>when</w:t>
      </w:r>
      <w:r w:rsidRPr="007D07BD">
        <w:t xml:space="preserve"> more points are allocated to one characteristic, there are fewer points available to be allocated to the remaining characteristics, </w:t>
      </w:r>
      <w:r>
        <w:t xml:space="preserve">hence </w:t>
      </w:r>
      <w:r w:rsidRPr="00660E31">
        <w:t xml:space="preserve">proportions are automatically negatively correlated </w:t>
      </w:r>
      <w:r w:rsidRPr="00660E31">
        <w:rPr>
          <w:noProof/>
        </w:rPr>
        <w:t>(Buis, 2010)</w:t>
      </w:r>
      <w:r w:rsidRPr="00660E31">
        <w:t xml:space="preserve">. </w:t>
      </w:r>
      <w:r w:rsidRPr="00660E31">
        <w:lastRenderedPageBreak/>
        <w:t xml:space="preserve">Second, point allocation choices are deliberate, especially at the extremes of </w:t>
      </w:r>
      <w:r>
        <w:t>zero</w:t>
      </w:r>
      <w:r w:rsidRPr="00660E31">
        <w:t xml:space="preserve"> and 1.</w:t>
      </w:r>
      <w:r>
        <w:t xml:space="preserve"> A choice of zero or 1 (a corner solution) arises because the </w:t>
      </w:r>
      <w:r w:rsidRPr="00C42B9B">
        <w:t>respondent</w:t>
      </w:r>
      <w:r w:rsidRPr="00C42B9B">
        <w:rPr>
          <w:shd w:val="clear" w:color="auto" w:fill="FFFFFF"/>
        </w:rPr>
        <w:t xml:space="preserve"> is either unwilling or unable to </w:t>
      </w:r>
      <w:r>
        <w:rPr>
          <w:color w:val="202124"/>
          <w:shd w:val="clear" w:color="auto" w:fill="FFFFFF"/>
        </w:rPr>
        <w:t>make a trade-off.</w:t>
      </w:r>
      <w:r w:rsidRPr="00660E31">
        <w:t xml:space="preserve"> Third, given proportional data is bound by </w:t>
      </w:r>
      <w:r>
        <w:t xml:space="preserve">zero </w:t>
      </w:r>
      <w:r w:rsidRPr="00660E31">
        <w:t xml:space="preserve">and 1, the variance decreases as the mean value is closer to either boundary </w:t>
      </w:r>
      <w:r>
        <w:rPr>
          <w:noProof/>
        </w:rPr>
        <w:t>(Cook et al., 2008; Loch et al., 2016)</w:t>
      </w:r>
      <w:r w:rsidRPr="00660E31">
        <w:t xml:space="preserve">. </w:t>
      </w:r>
    </w:p>
    <w:p w:rsidR="001B0C4A" w:rsidRDefault="001B0C4A" w:rsidP="009D0447">
      <w:pPr>
        <w:spacing w:after="0" w:line="480" w:lineRule="auto"/>
        <w:jc w:val="both"/>
      </w:pPr>
    </w:p>
    <w:p w:rsidR="001B0C4A" w:rsidRDefault="001B0C4A" w:rsidP="009D0447">
      <w:pPr>
        <w:spacing w:after="0" w:line="480" w:lineRule="auto"/>
        <w:jc w:val="both"/>
      </w:pPr>
      <w:r w:rsidRPr="00210242">
        <w:t>Given the</w:t>
      </w:r>
      <w:r>
        <w:t xml:space="preserve"> above described</w:t>
      </w:r>
      <w:r w:rsidRPr="00210242">
        <w:t xml:space="preserve"> characteristics of the data</w:t>
      </w:r>
      <w:r>
        <w:t xml:space="preserve"> and important points raised by other authors analysing proportional data </w:t>
      </w:r>
      <w:r>
        <w:rPr>
          <w:noProof/>
        </w:rPr>
        <w:t>(especially by Cook et al., 2008)</w:t>
      </w:r>
      <w:r>
        <w:t>,</w:t>
      </w:r>
      <w:r w:rsidRPr="00210242">
        <w:t xml:space="preserve"> it was determined that a fractional</w:t>
      </w:r>
      <w:r w:rsidRPr="009E31E7">
        <w:t xml:space="preserve"> multinomial logit model</w:t>
      </w:r>
      <w:r>
        <w:t xml:space="preserve"> was the most appropriate for this analysis.</w:t>
      </w:r>
      <w:r w:rsidRPr="001D11F6">
        <w:t xml:space="preserve"> </w:t>
      </w:r>
      <w:r>
        <w:t xml:space="preserve">The </w:t>
      </w:r>
      <w:r w:rsidRPr="00210242">
        <w:t>fractional</w:t>
      </w:r>
      <w:r w:rsidRPr="009E31E7">
        <w:t xml:space="preserve"> multinomial logit model</w:t>
      </w:r>
      <w:r>
        <w:t xml:space="preserve"> i</w:t>
      </w:r>
      <w:r w:rsidRPr="009E31E7">
        <w:t>s a multivariate generali</w:t>
      </w:r>
      <w:r>
        <w:t>s</w:t>
      </w:r>
      <w:r w:rsidRPr="009E31E7">
        <w:t>ation of</w:t>
      </w:r>
      <w:r>
        <w:t xml:space="preserve"> the </w:t>
      </w:r>
      <w:r w:rsidRPr="009E31E7">
        <w:t>fractional logit model</w:t>
      </w:r>
      <w:r>
        <w:t xml:space="preserve"> developed by </w:t>
      </w:r>
      <w:r>
        <w:rPr>
          <w:noProof/>
        </w:rPr>
        <w:t>Papke and Wooldridge (1996)</w:t>
      </w:r>
      <w:r w:rsidRPr="009E31E7">
        <w:t>.</w:t>
      </w:r>
      <w:r>
        <w:t xml:space="preserve"> The model has been used to analyse a number of economic and allocation problems that are represented by proportional data, such as the allocation of a fixed land area to different uses, and the allocation of a fixed allotment of time to different activities </w:t>
      </w:r>
      <w:r>
        <w:rPr>
          <w:noProof/>
        </w:rPr>
        <w:t>(Luo and Escalante, 2017; Mu et al., 2019; Mu et al., 2018; Mullahy and Robert, 2010)</w:t>
      </w:r>
      <w:r>
        <w:t xml:space="preserve">. </w:t>
      </w:r>
    </w:p>
    <w:p w:rsidR="001B0C4A" w:rsidRDefault="001B0C4A" w:rsidP="009D0447">
      <w:pPr>
        <w:spacing w:after="0" w:line="480" w:lineRule="auto"/>
        <w:jc w:val="both"/>
      </w:pPr>
    </w:p>
    <w:p w:rsidR="001B0C4A" w:rsidRDefault="001B0C4A" w:rsidP="009D0447">
      <w:pPr>
        <w:spacing w:after="0" w:line="480" w:lineRule="auto"/>
        <w:jc w:val="both"/>
      </w:pPr>
      <w:r>
        <w:t xml:space="preserve">Given the dependent variable (proportion of importance weighting allocated to each of six characteristics of the hydrogen industry) meets the criteria </w:t>
      </w:r>
      <w:r w:rsidRPr="002E35CD">
        <w:rPr>
          <w:rFonts w:ascii="Cambria Math" w:hAnsi="Cambria Math"/>
        </w:rPr>
        <w:t xml:space="preserve">0 ≤ </w:t>
      </w:r>
      <w:proofErr w:type="spellStart"/>
      <w:r w:rsidRPr="002E35CD">
        <w:rPr>
          <w:rFonts w:ascii="Cambria Math" w:hAnsi="Cambria Math"/>
          <w:i/>
        </w:rPr>
        <w:t>y</w:t>
      </w:r>
      <w:r w:rsidRPr="002E35CD">
        <w:rPr>
          <w:rFonts w:ascii="Cambria Math" w:hAnsi="Cambria Math"/>
          <w:i/>
          <w:vertAlign w:val="subscript"/>
        </w:rPr>
        <w:t>ij</w:t>
      </w:r>
      <w:proofErr w:type="spellEnd"/>
      <w:r w:rsidRPr="002E35CD">
        <w:rPr>
          <w:rFonts w:ascii="Cambria Math" w:hAnsi="Cambria Math"/>
          <w:i/>
        </w:rPr>
        <w:t xml:space="preserve"> </w:t>
      </w:r>
      <w:r w:rsidRPr="002E35CD">
        <w:rPr>
          <w:rFonts w:ascii="Cambria Math" w:hAnsi="Cambria Math"/>
        </w:rPr>
        <w:t>≤ 1</w:t>
      </w:r>
      <w:r>
        <w:t xml:space="preserve">, we followed </w:t>
      </w:r>
      <w:r>
        <w:rPr>
          <w:noProof/>
        </w:rPr>
        <w:t>Papke and Wooldridge (1996, 2008)</w:t>
      </w:r>
      <w:r>
        <w:t xml:space="preserve"> and </w:t>
      </w:r>
      <w:r>
        <w:rPr>
          <w:noProof/>
        </w:rPr>
        <w:t>Mullahy (2015)</w:t>
      </w:r>
      <w:r>
        <w:t xml:space="preserve"> such that </w:t>
      </w:r>
      <w:proofErr w:type="spellStart"/>
      <w:r w:rsidRPr="0086369C">
        <w:rPr>
          <w:rFonts w:ascii="Cambria Math" w:hAnsi="Cambria Math"/>
          <w:i/>
        </w:rPr>
        <w:t>y</w:t>
      </w:r>
      <w:r w:rsidRPr="002E35CD">
        <w:rPr>
          <w:rFonts w:ascii="Cambria Math" w:hAnsi="Cambria Math"/>
          <w:i/>
          <w:vertAlign w:val="subscript"/>
        </w:rPr>
        <w:t>ij</w:t>
      </w:r>
      <w:proofErr w:type="spellEnd"/>
      <w:r>
        <w:t xml:space="preserve"> was structured as a logistic function </w:t>
      </w:r>
      <w:r w:rsidRPr="00B90471">
        <w:rPr>
          <w:rFonts w:ascii="Cambria Math" w:hAnsi="Cambria Math"/>
        </w:rPr>
        <w:t>Λ(.)</w:t>
      </w:r>
      <w:r>
        <w:rPr>
          <w:rFonts w:ascii="Cambria Math" w:hAnsi="Cambria Math"/>
        </w:rPr>
        <w:t>;</w:t>
      </w:r>
      <w:r>
        <w:t xml:space="preserve"> of a set of explanatory variables (</w:t>
      </w:r>
      <w:r w:rsidRPr="00B90471">
        <w:rPr>
          <w:rFonts w:ascii="Cambria Math" w:hAnsi="Cambria Math"/>
        </w:rPr>
        <w:t>x</w:t>
      </w:r>
      <w:r w:rsidRPr="00B90471">
        <w:rPr>
          <w:rFonts w:ascii="Cambria Math" w:hAnsi="Cambria Math"/>
          <w:vertAlign w:val="subscript"/>
        </w:rPr>
        <w:t>i</w:t>
      </w:r>
      <w:r>
        <w:t xml:space="preserve">); observed for each individual, </w:t>
      </w:r>
      <w:proofErr w:type="spellStart"/>
      <w:r w:rsidRPr="00B90471">
        <w:rPr>
          <w:rFonts w:ascii="Cambria Math" w:hAnsi="Cambria Math"/>
          <w:i/>
        </w:rPr>
        <w:t>i</w:t>
      </w:r>
      <w:proofErr w:type="spellEnd"/>
      <w:r>
        <w:t xml:space="preserve">; and the characteristic of the hydrogen industry to which weighting was allocated, </w:t>
      </w:r>
      <w:r w:rsidRPr="00B90471">
        <w:rPr>
          <w:rFonts w:ascii="Cambria Math" w:hAnsi="Cambria Math"/>
          <w:i/>
        </w:rPr>
        <w:t>j</w:t>
      </w:r>
      <w:r>
        <w:t>. The proportions allocated to each characteristic can be estimated using Equation 1:</w:t>
      </w:r>
    </w:p>
    <w:p w:rsidR="001B0C4A" w:rsidRDefault="001B0C4A" w:rsidP="009D0447">
      <w:pPr>
        <w:spacing w:after="0" w:line="480" w:lineRule="auto"/>
        <w:jc w:val="both"/>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850"/>
      </w:tblGrid>
      <w:tr w:rsidR="001B0C4A" w:rsidTr="00653659">
        <w:tc>
          <w:tcPr>
            <w:tcW w:w="8222" w:type="dxa"/>
            <w:vAlign w:val="center"/>
          </w:tcPr>
          <w:p w:rsidR="001B0C4A" w:rsidRPr="00885028" w:rsidRDefault="001B0C4A" w:rsidP="009D0447">
            <w:pPr>
              <w:spacing w:line="480" w:lineRule="auto"/>
              <w:jc w:val="right"/>
              <w:rPr>
                <w:i/>
              </w:rPr>
            </w:pPr>
            <m:oMathPara>
              <m:oMath>
                <m:r>
                  <w:rPr>
                    <w:rFonts w:ascii="Cambria Math" w:hAnsi="Cambria Math"/>
                  </w:rPr>
                  <m:t>E[</m:t>
                </m:r>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 xml:space="preserve">] = </m:t>
                </m:r>
                <m:r>
                  <m:rPr>
                    <m:sty m:val="p"/>
                  </m:rPr>
                  <w:rPr>
                    <w:rFonts w:ascii="Cambria Math" w:hAnsi="Cambria Math"/>
                  </w:rPr>
                  <m:t>Λ</m:t>
                </m:r>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 xml:space="preserve">)= </m:t>
                </m:r>
                <m:f>
                  <m:fPr>
                    <m:ctrlPr>
                      <w:rPr>
                        <w:rFonts w:ascii="Cambria Math" w:hAnsi="Cambria Math"/>
                        <w:i/>
                      </w:rPr>
                    </m:ctrlPr>
                  </m:fPr>
                  <m:num>
                    <m:r>
                      <w:rPr>
                        <w:rFonts w:ascii="Cambria Math" w:hAnsi="Cambria Math"/>
                      </w:rPr>
                      <m:t>exp(</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β</m:t>
                        </m:r>
                      </m:e>
                      <m:sub>
                        <m:r>
                          <w:rPr>
                            <w:rFonts w:ascii="Cambria Math" w:hAnsi="Cambria Math"/>
                          </w:rPr>
                          <m:t>j</m:t>
                        </m:r>
                      </m:sub>
                    </m:sSub>
                    <m:r>
                      <w:rPr>
                        <w:rFonts w:ascii="Cambria Math" w:hAnsi="Cambria Math"/>
                      </w:rPr>
                      <m:t>)</m:t>
                    </m:r>
                  </m:num>
                  <m:den>
                    <m:nary>
                      <m:naryPr>
                        <m:chr m:val="∑"/>
                        <m:limLoc m:val="undOvr"/>
                        <m:ctrlPr>
                          <w:rPr>
                            <w:rFonts w:ascii="Cambria Math" w:hAnsi="Cambria Math"/>
                            <w:i/>
                          </w:rPr>
                        </m:ctrlPr>
                      </m:naryPr>
                      <m:sub>
                        <m:r>
                          <w:rPr>
                            <w:rFonts w:ascii="Cambria Math" w:hAnsi="Cambria Math"/>
                          </w:rPr>
                          <m:t>h=1</m:t>
                        </m:r>
                      </m:sub>
                      <m:sup>
                        <m:r>
                          <w:rPr>
                            <w:rFonts w:ascii="Cambria Math" w:hAnsi="Cambria Math"/>
                          </w:rPr>
                          <m:t>J</m:t>
                        </m:r>
                      </m:sup>
                      <m:e>
                        <m:r>
                          <w:rPr>
                            <w:rFonts w:ascii="Cambria Math" w:hAnsi="Cambria Math"/>
                          </w:rPr>
                          <m:t>exp(</m:t>
                        </m:r>
                      </m:e>
                    </m:nary>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β</m:t>
                        </m:r>
                      </m:e>
                      <m:sub>
                        <m:r>
                          <w:rPr>
                            <w:rFonts w:ascii="Cambria Math" w:hAnsi="Cambria Math"/>
                          </w:rPr>
                          <m:t>h</m:t>
                        </m:r>
                      </m:sub>
                    </m:sSub>
                    <m:r>
                      <w:rPr>
                        <w:rFonts w:ascii="Cambria Math" w:hAnsi="Cambria Math"/>
                      </w:rPr>
                      <m:t>)</m:t>
                    </m:r>
                  </m:den>
                </m:f>
              </m:oMath>
            </m:oMathPara>
          </w:p>
        </w:tc>
        <w:tc>
          <w:tcPr>
            <w:tcW w:w="850" w:type="dxa"/>
            <w:vAlign w:val="center"/>
          </w:tcPr>
          <w:p w:rsidR="001B0C4A" w:rsidRDefault="001B0C4A" w:rsidP="009D0447">
            <w:pPr>
              <w:spacing w:line="480" w:lineRule="auto"/>
              <w:jc w:val="right"/>
              <w:rPr>
                <w:rFonts w:eastAsia="Calibri"/>
              </w:rPr>
            </w:pPr>
            <w:r>
              <w:rPr>
                <w:rFonts w:eastAsia="Calibri"/>
              </w:rPr>
              <w:t>(1)</w:t>
            </w:r>
          </w:p>
        </w:tc>
      </w:tr>
    </w:tbl>
    <w:p w:rsidR="001B0C4A" w:rsidRDefault="001B0C4A" w:rsidP="009D0447">
      <w:pPr>
        <w:spacing w:after="0" w:line="480" w:lineRule="auto"/>
        <w:jc w:val="both"/>
      </w:pPr>
    </w:p>
    <w:p w:rsidR="001B0C4A" w:rsidRDefault="001B0C4A" w:rsidP="009D0447">
      <w:pPr>
        <w:spacing w:after="0" w:line="480" w:lineRule="auto"/>
        <w:jc w:val="both"/>
      </w:pPr>
      <w:r w:rsidRPr="0047245B">
        <w:t xml:space="preserve">All estimates were computed using the </w:t>
      </w:r>
      <w:proofErr w:type="spellStart"/>
      <w:r w:rsidRPr="0047245B">
        <w:t>fmlogit</w:t>
      </w:r>
      <w:proofErr w:type="spellEnd"/>
      <w:r w:rsidRPr="0047245B">
        <w:t xml:space="preserve"> package </w:t>
      </w:r>
      <w:r w:rsidRPr="0047245B">
        <w:rPr>
          <w:noProof/>
        </w:rPr>
        <w:t>(Buis, 2008)</w:t>
      </w:r>
      <w:r w:rsidRPr="0047245B">
        <w:t xml:space="preserve"> in </w:t>
      </w:r>
      <w:proofErr w:type="spellStart"/>
      <w:r w:rsidRPr="0047245B">
        <w:t>StataSE</w:t>
      </w:r>
      <w:proofErr w:type="spellEnd"/>
      <w:r w:rsidRPr="0047245B">
        <w:t xml:space="preserve"> 16. Results report the average marginal effects of the fractional multinomial logit model estimates. Robust standard errors were used in model estimates to in-part control for heteroskedasticity. </w:t>
      </w:r>
      <w:r w:rsidRPr="0047245B">
        <w:lastRenderedPageBreak/>
        <w:t xml:space="preserve">Variance inflation factors </w:t>
      </w:r>
      <w:r>
        <w:t xml:space="preserve">(VIF) </w:t>
      </w:r>
      <w:r w:rsidRPr="0047245B">
        <w:t xml:space="preserve">and correlation coefficients were calculated and showed no serious issues with multicollinearity. The mean </w:t>
      </w:r>
      <w:r>
        <w:t>VIF</w:t>
      </w:r>
      <w:r w:rsidRPr="0047245B">
        <w:t xml:space="preserve"> was 1.22 and the maximum was 1.43,</w:t>
      </w:r>
      <w:r>
        <w:t xml:space="preserve"> and</w:t>
      </w:r>
      <w:r w:rsidRPr="0047245B">
        <w:t xml:space="preserve"> the highest correlation coefficient was 0.47. Additionally, the mean and median point allocation scores were also not statistically significantly different (p≤0.05) indicating, to some extent, the presence of few outliers or strategic responses</w:t>
      </w:r>
      <w:r>
        <w:t xml:space="preserve"> influencing the model estimates</w:t>
      </w:r>
      <w:r w:rsidRPr="0047245B">
        <w:t xml:space="preserve"> </w:t>
      </w:r>
      <w:r w:rsidRPr="0047245B">
        <w:rPr>
          <w:noProof/>
        </w:rPr>
        <w:t>(Clark, 1974; Ryan et al., 2001)</w:t>
      </w:r>
      <w:r w:rsidRPr="0047245B">
        <w:t xml:space="preserve">. </w:t>
      </w:r>
    </w:p>
    <w:p w:rsidR="001B0C4A" w:rsidRDefault="001B0C4A" w:rsidP="009D0447">
      <w:pPr>
        <w:spacing w:after="0" w:line="480" w:lineRule="auto"/>
        <w:jc w:val="both"/>
      </w:pPr>
    </w:p>
    <w:p w:rsidR="001B0C4A" w:rsidRDefault="001B0C4A" w:rsidP="009D0447">
      <w:pPr>
        <w:pStyle w:val="ListParagraph"/>
        <w:numPr>
          <w:ilvl w:val="1"/>
          <w:numId w:val="19"/>
        </w:numPr>
        <w:spacing w:after="0" w:line="480" w:lineRule="auto"/>
        <w:jc w:val="both"/>
        <w:rPr>
          <w:b/>
        </w:rPr>
      </w:pPr>
      <w:r>
        <w:rPr>
          <w:b/>
        </w:rPr>
        <w:t>Summary statistics</w:t>
      </w:r>
    </w:p>
    <w:p w:rsidR="001B0C4A" w:rsidRDefault="001B0C4A" w:rsidP="009D0447">
      <w:pPr>
        <w:pStyle w:val="ListParagraph"/>
        <w:spacing w:after="0" w:line="480" w:lineRule="auto"/>
        <w:jc w:val="both"/>
        <w:rPr>
          <w:b/>
        </w:rPr>
      </w:pPr>
    </w:p>
    <w:p w:rsidR="001B0C4A" w:rsidRDefault="001B0C4A" w:rsidP="007306CA">
      <w:pPr>
        <w:spacing w:after="0" w:line="480" w:lineRule="auto"/>
        <w:jc w:val="both"/>
      </w:pPr>
      <w:r>
        <w:t xml:space="preserve">The six dependent variables are the proportion of points (out of 1) that respondents allocated to each of the six characteristics of a hydrogen industry, based on importance. The dependent variables are defined and presented with summary statistics in Table 1. </w:t>
      </w:r>
      <w:r w:rsidRPr="0022146C">
        <w:t xml:space="preserve">The explanatory variables included in the analysis reflect the hypotheses outlined </w:t>
      </w:r>
      <w:r>
        <w:t>previously</w:t>
      </w:r>
      <w:r w:rsidRPr="0022146C">
        <w:t xml:space="preserve">, </w:t>
      </w:r>
      <w:r w:rsidRPr="00F67E15">
        <w:t>namely the associations between importance weightings for hydrogen industry characteristics and influential variables identified in the literature</w:t>
      </w:r>
      <w:r w:rsidRPr="001C021E">
        <w:t xml:space="preserve"> </w:t>
      </w:r>
      <w:r w:rsidRPr="001C021E">
        <w:rPr>
          <w:noProof/>
        </w:rPr>
        <w:t>(e.g. Achterberg et al., 2010; Bogel et al., 2018; Huijts and van Wee, 2015; O’Garra and Mourato, 2007; Ricci et al., 2008; Schmidt and Donsbach, 2016; Thesen and Langhelle, 2008)</w:t>
      </w:r>
      <w:r w:rsidRPr="001C021E">
        <w:t>.</w:t>
      </w:r>
      <w:r w:rsidRPr="0022146C">
        <w:t xml:space="preserve"> </w:t>
      </w:r>
      <w:r w:rsidRPr="00EA32A4">
        <w:t>The explanatory variables included: state of residence (</w:t>
      </w:r>
      <w:r>
        <w:t xml:space="preserve">South Australia </w:t>
      </w:r>
      <w:r w:rsidRPr="00EA32A4">
        <w:t>or Victoria); whether respondents lived in a metropolitan (urban) or regional area; gender</w:t>
      </w:r>
      <w:r>
        <w:t xml:space="preserve"> (men)</w:t>
      </w:r>
      <w:r w:rsidRPr="00EA32A4">
        <w:t xml:space="preserve">; age; education; household characteristics; employment experience; attitudes, especially regarding environmental issues; and self-rated knowledge of the hydrogen industry (Table 2). </w:t>
      </w:r>
      <w:r>
        <w:t>Alternative variables and variable specifications, e.g. squared forms of continuous and semi-continuous variables, were also tested in a variety of sensitivity analyses before the final estimates were produced.</w:t>
      </w:r>
      <w:r>
        <w:br w:type="page"/>
      </w:r>
    </w:p>
    <w:p w:rsidR="001B0C4A" w:rsidRDefault="001B0C4A" w:rsidP="009D0447">
      <w:pPr>
        <w:spacing w:after="0" w:line="240" w:lineRule="auto"/>
        <w:jc w:val="both"/>
      </w:pPr>
      <w:r w:rsidRPr="0032453A">
        <w:rPr>
          <w:b/>
        </w:rPr>
        <w:lastRenderedPageBreak/>
        <w:t>Table 1</w:t>
      </w:r>
      <w:r>
        <w:t>. Sample summary statistics, proportion of points (out of 1.00 from point weighting allocation task) allocated by survey respondents (n=1824), to each characteristic of the hydrogen industry.</w:t>
      </w:r>
    </w:p>
    <w:tbl>
      <w:tblPr>
        <w:tblStyle w:val="TableGrid1"/>
        <w:tblW w:w="902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45"/>
        <w:gridCol w:w="899"/>
        <w:gridCol w:w="992"/>
        <w:gridCol w:w="1701"/>
        <w:gridCol w:w="709"/>
        <w:gridCol w:w="709"/>
        <w:gridCol w:w="1366"/>
      </w:tblGrid>
      <w:tr w:rsidR="001B0C4A" w:rsidRPr="00DB0395" w:rsidTr="00BE37B1">
        <w:trPr>
          <w:trHeight w:val="290"/>
        </w:trPr>
        <w:tc>
          <w:tcPr>
            <w:tcW w:w="2645" w:type="dxa"/>
            <w:tcBorders>
              <w:bottom w:val="single" w:sz="4" w:space="0" w:color="auto"/>
            </w:tcBorders>
            <w:vAlign w:val="center"/>
          </w:tcPr>
          <w:p w:rsidR="001B0C4A" w:rsidRPr="00DB0395" w:rsidRDefault="001B0C4A" w:rsidP="009D0447">
            <w:pPr>
              <w:rPr>
                <w:rFonts w:ascii="Arial" w:eastAsia="Times New Roman" w:hAnsi="Arial" w:cs="Arial"/>
                <w:b/>
              </w:rPr>
            </w:pPr>
            <w:r>
              <w:rPr>
                <w:rFonts w:ascii="Arial" w:hAnsi="Arial" w:cs="Arial"/>
                <w:b/>
              </w:rPr>
              <w:t>Dependent v</w:t>
            </w:r>
            <w:r w:rsidRPr="00DB0395">
              <w:rPr>
                <w:rFonts w:ascii="Arial" w:hAnsi="Arial" w:cs="Arial"/>
                <w:b/>
              </w:rPr>
              <w:t>ariable</w:t>
            </w:r>
            <w:r>
              <w:rPr>
                <w:rFonts w:ascii="Arial" w:hAnsi="Arial" w:cs="Arial"/>
                <w:b/>
              </w:rPr>
              <w:t>s</w:t>
            </w:r>
          </w:p>
        </w:tc>
        <w:tc>
          <w:tcPr>
            <w:tcW w:w="899" w:type="dxa"/>
            <w:tcBorders>
              <w:bottom w:val="single" w:sz="4" w:space="0" w:color="auto"/>
            </w:tcBorders>
            <w:vAlign w:val="center"/>
          </w:tcPr>
          <w:p w:rsidR="001B0C4A" w:rsidRPr="00DB0395" w:rsidRDefault="001B0C4A" w:rsidP="009D0447">
            <w:pPr>
              <w:jc w:val="center"/>
              <w:rPr>
                <w:rFonts w:ascii="Arial" w:eastAsia="Times New Roman" w:hAnsi="Arial" w:cs="Arial"/>
                <w:b/>
              </w:rPr>
            </w:pPr>
            <w:r w:rsidRPr="00DB0395">
              <w:rPr>
                <w:rFonts w:ascii="Arial" w:eastAsia="Times New Roman" w:hAnsi="Arial" w:cs="Arial"/>
                <w:b/>
              </w:rPr>
              <w:t>Mean</w:t>
            </w:r>
          </w:p>
        </w:tc>
        <w:tc>
          <w:tcPr>
            <w:tcW w:w="992" w:type="dxa"/>
            <w:tcBorders>
              <w:bottom w:val="single" w:sz="4" w:space="0" w:color="auto"/>
            </w:tcBorders>
            <w:vAlign w:val="center"/>
          </w:tcPr>
          <w:p w:rsidR="001B0C4A" w:rsidRPr="00DB0395" w:rsidRDefault="001B0C4A" w:rsidP="009D0447">
            <w:pPr>
              <w:ind w:right="-113"/>
              <w:jc w:val="center"/>
              <w:rPr>
                <w:rFonts w:ascii="Arial" w:eastAsia="Times New Roman" w:hAnsi="Arial" w:cs="Arial"/>
                <w:b/>
              </w:rPr>
            </w:pPr>
            <w:r w:rsidRPr="00DB0395">
              <w:rPr>
                <w:rFonts w:ascii="Arial" w:eastAsia="Times New Roman" w:hAnsi="Arial" w:cs="Arial"/>
                <w:b/>
              </w:rPr>
              <w:t>St. Dev.</w:t>
            </w:r>
          </w:p>
        </w:tc>
        <w:tc>
          <w:tcPr>
            <w:tcW w:w="1701" w:type="dxa"/>
            <w:tcBorders>
              <w:bottom w:val="single" w:sz="4" w:space="0" w:color="auto"/>
            </w:tcBorders>
          </w:tcPr>
          <w:p w:rsidR="001B0C4A" w:rsidRPr="009A213C" w:rsidRDefault="001B0C4A" w:rsidP="009D0447">
            <w:pPr>
              <w:jc w:val="center"/>
              <w:rPr>
                <w:rFonts w:ascii="Arial" w:eastAsia="Times New Roman" w:hAnsi="Arial" w:cs="Arial"/>
                <w:b/>
              </w:rPr>
            </w:pPr>
            <w:r w:rsidRPr="009A213C">
              <w:rPr>
                <w:rFonts w:ascii="Arial" w:eastAsia="Times New Roman" w:hAnsi="Arial" w:cs="Arial"/>
                <w:b/>
              </w:rPr>
              <w:t>95</w:t>
            </w:r>
            <w:r>
              <w:rPr>
                <w:rFonts w:ascii="Arial" w:eastAsia="Times New Roman" w:hAnsi="Arial" w:cs="Arial"/>
                <w:b/>
              </w:rPr>
              <w:t xml:space="preserve"> %</w:t>
            </w:r>
            <w:r w:rsidRPr="009A213C">
              <w:rPr>
                <w:rFonts w:ascii="Arial" w:eastAsia="Times New Roman" w:hAnsi="Arial" w:cs="Arial"/>
                <w:b/>
              </w:rPr>
              <w:t xml:space="preserve"> confidence interval</w:t>
            </w:r>
          </w:p>
        </w:tc>
        <w:tc>
          <w:tcPr>
            <w:tcW w:w="709" w:type="dxa"/>
            <w:tcBorders>
              <w:bottom w:val="single" w:sz="4" w:space="0" w:color="auto"/>
            </w:tcBorders>
            <w:vAlign w:val="center"/>
          </w:tcPr>
          <w:p w:rsidR="001B0C4A" w:rsidRPr="00DB0395" w:rsidRDefault="001B0C4A" w:rsidP="009D0447">
            <w:pPr>
              <w:jc w:val="center"/>
              <w:rPr>
                <w:rFonts w:ascii="Arial" w:eastAsia="Times New Roman" w:hAnsi="Arial" w:cs="Arial"/>
                <w:b/>
              </w:rPr>
            </w:pPr>
            <w:r w:rsidRPr="00DB0395">
              <w:rPr>
                <w:rFonts w:ascii="Arial" w:eastAsia="Times New Roman" w:hAnsi="Arial" w:cs="Arial"/>
                <w:b/>
              </w:rPr>
              <w:t>Min</w:t>
            </w:r>
          </w:p>
        </w:tc>
        <w:tc>
          <w:tcPr>
            <w:tcW w:w="709" w:type="dxa"/>
            <w:tcBorders>
              <w:bottom w:val="single" w:sz="4" w:space="0" w:color="auto"/>
            </w:tcBorders>
            <w:vAlign w:val="center"/>
          </w:tcPr>
          <w:p w:rsidR="001B0C4A" w:rsidRPr="00DB0395" w:rsidRDefault="001B0C4A" w:rsidP="009D0447">
            <w:pPr>
              <w:jc w:val="center"/>
              <w:rPr>
                <w:rFonts w:ascii="Arial" w:eastAsia="Times New Roman" w:hAnsi="Arial" w:cs="Arial"/>
                <w:b/>
              </w:rPr>
            </w:pPr>
            <w:r w:rsidRPr="00DB0395">
              <w:rPr>
                <w:rFonts w:ascii="Arial" w:eastAsia="Times New Roman" w:hAnsi="Arial" w:cs="Arial"/>
                <w:b/>
              </w:rPr>
              <w:t>Max</w:t>
            </w:r>
          </w:p>
        </w:tc>
        <w:tc>
          <w:tcPr>
            <w:tcW w:w="1366" w:type="dxa"/>
            <w:tcBorders>
              <w:bottom w:val="single" w:sz="4" w:space="0" w:color="auto"/>
            </w:tcBorders>
          </w:tcPr>
          <w:p w:rsidR="001B0C4A" w:rsidRPr="007026F2" w:rsidRDefault="001B0C4A" w:rsidP="009D0447">
            <w:pPr>
              <w:jc w:val="center"/>
              <w:rPr>
                <w:rFonts w:ascii="Arial" w:eastAsia="Times New Roman" w:hAnsi="Arial" w:cs="Arial"/>
                <w:b/>
                <w:vertAlign w:val="superscript"/>
              </w:rPr>
            </w:pPr>
            <w:r>
              <w:rPr>
                <w:rFonts w:ascii="Arial" w:eastAsia="Times New Roman" w:hAnsi="Arial" w:cs="Arial"/>
                <w:b/>
              </w:rPr>
              <w:t>R</w:t>
            </w:r>
            <w:r w:rsidRPr="00771204">
              <w:rPr>
                <w:rFonts w:ascii="Arial" w:eastAsia="Times New Roman" w:hAnsi="Arial" w:cs="Arial"/>
                <w:b/>
              </w:rPr>
              <w:t>ated most important (</w:t>
            </w:r>
            <w:proofErr w:type="gramStart"/>
            <w:r>
              <w:rPr>
                <w:rFonts w:ascii="Arial" w:eastAsia="Times New Roman" w:hAnsi="Arial" w:cs="Arial"/>
                <w:b/>
              </w:rPr>
              <w:t>%</w:t>
            </w:r>
            <w:r w:rsidRPr="00771204">
              <w:rPr>
                <w:rFonts w:ascii="Arial" w:eastAsia="Times New Roman" w:hAnsi="Arial" w:cs="Arial"/>
                <w:b/>
              </w:rPr>
              <w:t>)</w:t>
            </w:r>
            <w:r w:rsidRPr="00F513FC">
              <w:rPr>
                <w:rFonts w:ascii="Arial" w:hAnsi="Arial" w:cs="Arial"/>
                <w:b/>
                <w:sz w:val="22"/>
                <w:vertAlign w:val="superscript"/>
              </w:rPr>
              <w:t>†</w:t>
            </w:r>
            <w:proofErr w:type="gramEnd"/>
          </w:p>
        </w:tc>
      </w:tr>
      <w:tr w:rsidR="001B0C4A" w:rsidRPr="00DB0395" w:rsidTr="00BE37B1">
        <w:tc>
          <w:tcPr>
            <w:tcW w:w="2645" w:type="dxa"/>
            <w:tcBorders>
              <w:bottom w:val="nil"/>
            </w:tcBorders>
            <w:vAlign w:val="center"/>
          </w:tcPr>
          <w:p w:rsidR="001B0C4A" w:rsidRPr="00DB0395" w:rsidRDefault="001B0C4A" w:rsidP="009D0447">
            <w:pPr>
              <w:rPr>
                <w:rFonts w:ascii="Arial" w:eastAsia="Times New Roman" w:hAnsi="Arial" w:cs="Arial"/>
              </w:rPr>
            </w:pPr>
            <w:r w:rsidRPr="00DB0395">
              <w:rPr>
                <w:rFonts w:ascii="Arial" w:eastAsia="Times New Roman" w:hAnsi="Arial" w:cs="Arial"/>
              </w:rPr>
              <w:t>Safety</w:t>
            </w:r>
          </w:p>
        </w:tc>
        <w:tc>
          <w:tcPr>
            <w:tcW w:w="899" w:type="dxa"/>
            <w:tcBorders>
              <w:top w:val="nil"/>
              <w:left w:val="nil"/>
              <w:bottom w:val="nil"/>
              <w:right w:val="nil"/>
            </w:tcBorders>
            <w:shd w:val="clear" w:color="auto" w:fill="auto"/>
            <w:vAlign w:val="bottom"/>
          </w:tcPr>
          <w:p w:rsidR="001B0C4A" w:rsidRPr="00F513FC" w:rsidRDefault="001B0C4A" w:rsidP="009D0447">
            <w:pPr>
              <w:jc w:val="center"/>
              <w:rPr>
                <w:rFonts w:ascii="Arial" w:eastAsia="Times New Roman" w:hAnsi="Arial" w:cs="Arial"/>
                <w:vertAlign w:val="superscript"/>
              </w:rPr>
            </w:pPr>
            <w:r w:rsidRPr="009A213C">
              <w:rPr>
                <w:rFonts w:ascii="Arial" w:hAnsi="Arial" w:cs="Arial"/>
                <w:color w:val="000000"/>
                <w:sz w:val="22"/>
                <w:szCs w:val="22"/>
              </w:rPr>
              <w:t>0.215</w:t>
            </w:r>
            <w:r>
              <w:rPr>
                <w:rFonts w:ascii="Arial" w:hAnsi="Arial" w:cs="Arial"/>
                <w:color w:val="000000"/>
                <w:sz w:val="22"/>
                <w:szCs w:val="22"/>
                <w:vertAlign w:val="superscript"/>
              </w:rPr>
              <w:t>a</w:t>
            </w:r>
          </w:p>
        </w:tc>
        <w:tc>
          <w:tcPr>
            <w:tcW w:w="992" w:type="dxa"/>
            <w:tcBorders>
              <w:top w:val="nil"/>
              <w:left w:val="nil"/>
              <w:bottom w:val="nil"/>
              <w:right w:val="nil"/>
            </w:tcBorders>
            <w:shd w:val="clear" w:color="auto" w:fill="auto"/>
            <w:vAlign w:val="bottom"/>
          </w:tcPr>
          <w:p w:rsidR="001B0C4A" w:rsidRPr="009A213C" w:rsidRDefault="001B0C4A" w:rsidP="009D0447">
            <w:pPr>
              <w:jc w:val="center"/>
              <w:rPr>
                <w:rFonts w:ascii="Arial" w:eastAsia="Times New Roman" w:hAnsi="Arial" w:cs="Arial"/>
              </w:rPr>
            </w:pPr>
            <w:r w:rsidRPr="009A213C">
              <w:rPr>
                <w:rFonts w:ascii="Arial" w:hAnsi="Arial" w:cs="Arial"/>
                <w:color w:val="000000"/>
                <w:sz w:val="22"/>
                <w:szCs w:val="22"/>
              </w:rPr>
              <w:t>0.167</w:t>
            </w:r>
          </w:p>
        </w:tc>
        <w:tc>
          <w:tcPr>
            <w:tcW w:w="1701" w:type="dxa"/>
            <w:tcBorders>
              <w:bottom w:val="nil"/>
            </w:tcBorders>
            <w:shd w:val="clear" w:color="auto" w:fill="auto"/>
            <w:vAlign w:val="bottom"/>
          </w:tcPr>
          <w:p w:rsidR="001B0C4A" w:rsidRPr="009A213C" w:rsidRDefault="001B0C4A" w:rsidP="009D0447">
            <w:pPr>
              <w:jc w:val="center"/>
              <w:rPr>
                <w:rFonts w:ascii="Arial" w:eastAsia="Times New Roman" w:hAnsi="Arial" w:cs="Arial"/>
              </w:rPr>
            </w:pPr>
            <w:r>
              <w:rPr>
                <w:rFonts w:ascii="Arial" w:hAnsi="Arial" w:cs="Arial"/>
                <w:color w:val="000000"/>
                <w:sz w:val="22"/>
                <w:szCs w:val="22"/>
              </w:rPr>
              <w:t>(</w:t>
            </w:r>
            <w:r w:rsidRPr="009A213C">
              <w:rPr>
                <w:rFonts w:ascii="Arial" w:hAnsi="Arial" w:cs="Arial"/>
                <w:color w:val="000000"/>
                <w:sz w:val="22"/>
                <w:szCs w:val="22"/>
              </w:rPr>
              <w:t>0.20</w:t>
            </w:r>
            <w:r>
              <w:rPr>
                <w:rFonts w:ascii="Arial" w:hAnsi="Arial" w:cs="Arial"/>
                <w:color w:val="000000"/>
                <w:sz w:val="22"/>
                <w:szCs w:val="22"/>
              </w:rPr>
              <w:t xml:space="preserve">7, </w:t>
            </w:r>
            <w:r w:rsidRPr="009A213C">
              <w:rPr>
                <w:rFonts w:ascii="Arial" w:hAnsi="Arial" w:cs="Arial"/>
                <w:color w:val="000000"/>
                <w:sz w:val="22"/>
                <w:szCs w:val="22"/>
              </w:rPr>
              <w:t>0.22</w:t>
            </w:r>
            <w:r>
              <w:rPr>
                <w:rFonts w:ascii="Arial" w:hAnsi="Arial" w:cs="Arial"/>
                <w:color w:val="000000"/>
                <w:sz w:val="22"/>
                <w:szCs w:val="22"/>
              </w:rPr>
              <w:t>3)</w:t>
            </w:r>
          </w:p>
        </w:tc>
        <w:tc>
          <w:tcPr>
            <w:tcW w:w="709" w:type="dxa"/>
            <w:tcBorders>
              <w:bottom w:val="nil"/>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0</w:t>
            </w:r>
          </w:p>
        </w:tc>
        <w:tc>
          <w:tcPr>
            <w:tcW w:w="709" w:type="dxa"/>
            <w:tcBorders>
              <w:bottom w:val="nil"/>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1</w:t>
            </w:r>
          </w:p>
        </w:tc>
        <w:tc>
          <w:tcPr>
            <w:tcW w:w="1366" w:type="dxa"/>
            <w:tcBorders>
              <w:bottom w:val="nil"/>
            </w:tcBorders>
          </w:tcPr>
          <w:p w:rsidR="001B0C4A" w:rsidRPr="00771204" w:rsidRDefault="001B0C4A" w:rsidP="009D0447">
            <w:pPr>
              <w:jc w:val="center"/>
              <w:rPr>
                <w:rFonts w:ascii="Arial" w:eastAsia="Times New Roman" w:hAnsi="Arial" w:cs="Arial"/>
              </w:rPr>
            </w:pPr>
            <w:r w:rsidRPr="00771204">
              <w:rPr>
                <w:rFonts w:ascii="Arial" w:eastAsia="Times New Roman" w:hAnsi="Arial" w:cs="Arial"/>
              </w:rPr>
              <w:t>36.13</w:t>
            </w:r>
          </w:p>
        </w:tc>
      </w:tr>
      <w:tr w:rsidR="001B0C4A" w:rsidRPr="00DB0395" w:rsidTr="00BE37B1">
        <w:tc>
          <w:tcPr>
            <w:tcW w:w="2645" w:type="dxa"/>
            <w:tcBorders>
              <w:top w:val="nil"/>
              <w:bottom w:val="nil"/>
            </w:tcBorders>
            <w:vAlign w:val="center"/>
          </w:tcPr>
          <w:p w:rsidR="001B0C4A" w:rsidRPr="00DB0395" w:rsidRDefault="001B0C4A" w:rsidP="009D0447">
            <w:pPr>
              <w:rPr>
                <w:rFonts w:ascii="Arial" w:eastAsia="Times New Roman" w:hAnsi="Arial" w:cs="Arial"/>
              </w:rPr>
            </w:pPr>
            <w:r w:rsidRPr="00DB0395">
              <w:rPr>
                <w:rFonts w:ascii="Arial" w:eastAsia="Times New Roman" w:hAnsi="Arial" w:cs="Arial"/>
              </w:rPr>
              <w:t>Climate change mitigation</w:t>
            </w:r>
          </w:p>
        </w:tc>
        <w:tc>
          <w:tcPr>
            <w:tcW w:w="899" w:type="dxa"/>
            <w:tcBorders>
              <w:top w:val="nil"/>
              <w:left w:val="nil"/>
              <w:bottom w:val="nil"/>
              <w:right w:val="nil"/>
            </w:tcBorders>
            <w:shd w:val="clear" w:color="auto" w:fill="auto"/>
            <w:vAlign w:val="bottom"/>
          </w:tcPr>
          <w:p w:rsidR="001B0C4A" w:rsidRPr="00F513FC" w:rsidRDefault="001B0C4A" w:rsidP="009D0447">
            <w:pPr>
              <w:jc w:val="center"/>
              <w:rPr>
                <w:rFonts w:ascii="Arial" w:eastAsia="Times New Roman" w:hAnsi="Arial" w:cs="Arial"/>
                <w:vertAlign w:val="superscript"/>
              </w:rPr>
            </w:pPr>
            <w:r w:rsidRPr="009A213C">
              <w:rPr>
                <w:rFonts w:ascii="Arial" w:hAnsi="Arial" w:cs="Arial"/>
                <w:color w:val="000000"/>
                <w:sz w:val="22"/>
                <w:szCs w:val="22"/>
              </w:rPr>
              <w:t>0.192</w:t>
            </w:r>
            <w:r>
              <w:rPr>
                <w:rFonts w:ascii="Arial" w:hAnsi="Arial" w:cs="Arial"/>
                <w:color w:val="000000"/>
                <w:sz w:val="22"/>
                <w:szCs w:val="22"/>
                <w:vertAlign w:val="superscript"/>
              </w:rPr>
              <w:t>b</w:t>
            </w:r>
          </w:p>
        </w:tc>
        <w:tc>
          <w:tcPr>
            <w:tcW w:w="992" w:type="dxa"/>
            <w:tcBorders>
              <w:top w:val="nil"/>
              <w:left w:val="nil"/>
              <w:bottom w:val="nil"/>
              <w:right w:val="nil"/>
            </w:tcBorders>
            <w:shd w:val="clear" w:color="auto" w:fill="auto"/>
            <w:vAlign w:val="bottom"/>
          </w:tcPr>
          <w:p w:rsidR="001B0C4A" w:rsidRPr="009A213C" w:rsidRDefault="001B0C4A" w:rsidP="009D0447">
            <w:pPr>
              <w:jc w:val="center"/>
              <w:rPr>
                <w:rFonts w:ascii="Arial" w:eastAsia="Times New Roman" w:hAnsi="Arial" w:cs="Arial"/>
              </w:rPr>
            </w:pPr>
            <w:r w:rsidRPr="009A213C">
              <w:rPr>
                <w:rFonts w:ascii="Arial" w:hAnsi="Arial" w:cs="Arial"/>
                <w:color w:val="000000"/>
                <w:sz w:val="22"/>
                <w:szCs w:val="22"/>
              </w:rPr>
              <w:t>0.177</w:t>
            </w:r>
          </w:p>
        </w:tc>
        <w:tc>
          <w:tcPr>
            <w:tcW w:w="1701" w:type="dxa"/>
            <w:tcBorders>
              <w:top w:val="nil"/>
              <w:bottom w:val="nil"/>
            </w:tcBorders>
            <w:shd w:val="clear" w:color="auto" w:fill="auto"/>
            <w:vAlign w:val="bottom"/>
          </w:tcPr>
          <w:p w:rsidR="001B0C4A" w:rsidRPr="009A213C" w:rsidRDefault="001B0C4A" w:rsidP="009D0447">
            <w:pPr>
              <w:jc w:val="center"/>
              <w:rPr>
                <w:rFonts w:ascii="Arial" w:eastAsia="Times New Roman" w:hAnsi="Arial" w:cs="Arial"/>
              </w:rPr>
            </w:pPr>
            <w:r>
              <w:rPr>
                <w:rFonts w:ascii="Arial" w:hAnsi="Arial" w:cs="Arial"/>
                <w:color w:val="000000"/>
                <w:sz w:val="22"/>
                <w:szCs w:val="22"/>
              </w:rPr>
              <w:t>(</w:t>
            </w:r>
            <w:r w:rsidRPr="009A213C">
              <w:rPr>
                <w:rFonts w:ascii="Arial" w:hAnsi="Arial" w:cs="Arial"/>
                <w:color w:val="000000"/>
                <w:sz w:val="22"/>
                <w:szCs w:val="22"/>
              </w:rPr>
              <w:t>0.184</w:t>
            </w:r>
            <w:r>
              <w:rPr>
                <w:rFonts w:ascii="Arial" w:hAnsi="Arial" w:cs="Arial"/>
                <w:color w:val="000000"/>
                <w:sz w:val="22"/>
                <w:szCs w:val="22"/>
              </w:rPr>
              <w:t xml:space="preserve">, </w:t>
            </w:r>
            <w:r w:rsidRPr="009A213C">
              <w:rPr>
                <w:rFonts w:ascii="Arial" w:hAnsi="Arial" w:cs="Arial"/>
                <w:color w:val="000000"/>
                <w:sz w:val="22"/>
                <w:szCs w:val="22"/>
              </w:rPr>
              <w:t>0.200</w:t>
            </w:r>
            <w:r>
              <w:rPr>
                <w:rFonts w:ascii="Arial" w:hAnsi="Arial" w:cs="Arial"/>
                <w:color w:val="000000"/>
                <w:sz w:val="22"/>
                <w:szCs w:val="22"/>
              </w:rPr>
              <w:t>)</w:t>
            </w:r>
          </w:p>
        </w:tc>
        <w:tc>
          <w:tcPr>
            <w:tcW w:w="709" w:type="dxa"/>
            <w:tcBorders>
              <w:top w:val="nil"/>
              <w:bottom w:val="nil"/>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0</w:t>
            </w:r>
          </w:p>
        </w:tc>
        <w:tc>
          <w:tcPr>
            <w:tcW w:w="709" w:type="dxa"/>
            <w:tcBorders>
              <w:top w:val="nil"/>
              <w:bottom w:val="nil"/>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1</w:t>
            </w:r>
          </w:p>
        </w:tc>
        <w:tc>
          <w:tcPr>
            <w:tcW w:w="1366" w:type="dxa"/>
            <w:tcBorders>
              <w:top w:val="nil"/>
              <w:bottom w:val="nil"/>
            </w:tcBorders>
          </w:tcPr>
          <w:p w:rsidR="001B0C4A" w:rsidRPr="00771204" w:rsidRDefault="001B0C4A" w:rsidP="009D0447">
            <w:pPr>
              <w:jc w:val="center"/>
              <w:rPr>
                <w:rFonts w:ascii="Arial" w:eastAsia="Times New Roman" w:hAnsi="Arial" w:cs="Arial"/>
              </w:rPr>
            </w:pPr>
            <w:r w:rsidRPr="00771204">
              <w:rPr>
                <w:rFonts w:ascii="Arial" w:eastAsia="Times New Roman" w:hAnsi="Arial" w:cs="Arial"/>
              </w:rPr>
              <w:t>30.32</w:t>
            </w:r>
          </w:p>
        </w:tc>
      </w:tr>
      <w:tr w:rsidR="001B0C4A" w:rsidRPr="00DB0395" w:rsidTr="00BE37B1">
        <w:tc>
          <w:tcPr>
            <w:tcW w:w="2645" w:type="dxa"/>
            <w:tcBorders>
              <w:top w:val="nil"/>
              <w:bottom w:val="nil"/>
            </w:tcBorders>
            <w:vAlign w:val="center"/>
          </w:tcPr>
          <w:p w:rsidR="001B0C4A" w:rsidRPr="00DB0395" w:rsidRDefault="001B0C4A" w:rsidP="009D0447">
            <w:pPr>
              <w:rPr>
                <w:rFonts w:ascii="Arial" w:eastAsia="Times New Roman" w:hAnsi="Arial" w:cs="Arial"/>
              </w:rPr>
            </w:pPr>
            <w:r w:rsidRPr="00DB0395">
              <w:rPr>
                <w:rFonts w:ascii="Arial" w:eastAsia="Times New Roman" w:hAnsi="Arial" w:cs="Arial"/>
              </w:rPr>
              <w:t>Affordability</w:t>
            </w:r>
          </w:p>
        </w:tc>
        <w:tc>
          <w:tcPr>
            <w:tcW w:w="899" w:type="dxa"/>
            <w:tcBorders>
              <w:top w:val="nil"/>
              <w:left w:val="nil"/>
              <w:bottom w:val="nil"/>
              <w:right w:val="nil"/>
            </w:tcBorders>
            <w:shd w:val="clear" w:color="auto" w:fill="auto"/>
            <w:vAlign w:val="bottom"/>
          </w:tcPr>
          <w:p w:rsidR="001B0C4A" w:rsidRPr="00F513FC" w:rsidRDefault="001B0C4A" w:rsidP="009D0447">
            <w:pPr>
              <w:jc w:val="center"/>
              <w:rPr>
                <w:rFonts w:ascii="Arial" w:eastAsia="Times New Roman" w:hAnsi="Arial" w:cs="Arial"/>
                <w:vertAlign w:val="superscript"/>
              </w:rPr>
            </w:pPr>
            <w:r w:rsidRPr="009A213C">
              <w:rPr>
                <w:rFonts w:ascii="Arial" w:hAnsi="Arial" w:cs="Arial"/>
                <w:color w:val="000000"/>
                <w:sz w:val="22"/>
                <w:szCs w:val="22"/>
              </w:rPr>
              <w:t>0.184</w:t>
            </w:r>
            <w:r>
              <w:rPr>
                <w:rFonts w:ascii="Arial" w:hAnsi="Arial" w:cs="Arial"/>
                <w:color w:val="000000"/>
                <w:sz w:val="22"/>
                <w:szCs w:val="22"/>
                <w:vertAlign w:val="superscript"/>
              </w:rPr>
              <w:t>b</w:t>
            </w:r>
          </w:p>
        </w:tc>
        <w:tc>
          <w:tcPr>
            <w:tcW w:w="992" w:type="dxa"/>
            <w:tcBorders>
              <w:top w:val="nil"/>
              <w:left w:val="nil"/>
              <w:bottom w:val="nil"/>
              <w:right w:val="nil"/>
            </w:tcBorders>
            <w:shd w:val="clear" w:color="auto" w:fill="auto"/>
            <w:vAlign w:val="bottom"/>
          </w:tcPr>
          <w:p w:rsidR="001B0C4A" w:rsidRPr="009A213C" w:rsidRDefault="001B0C4A" w:rsidP="009D0447">
            <w:pPr>
              <w:jc w:val="center"/>
              <w:rPr>
                <w:rFonts w:ascii="Arial" w:eastAsia="Times New Roman" w:hAnsi="Arial" w:cs="Arial"/>
              </w:rPr>
            </w:pPr>
            <w:r w:rsidRPr="009A213C">
              <w:rPr>
                <w:rFonts w:ascii="Arial" w:hAnsi="Arial" w:cs="Arial"/>
                <w:color w:val="000000"/>
                <w:sz w:val="22"/>
                <w:szCs w:val="22"/>
              </w:rPr>
              <w:t>0.131</w:t>
            </w:r>
          </w:p>
        </w:tc>
        <w:tc>
          <w:tcPr>
            <w:tcW w:w="1701" w:type="dxa"/>
            <w:tcBorders>
              <w:top w:val="nil"/>
              <w:bottom w:val="nil"/>
            </w:tcBorders>
            <w:shd w:val="clear" w:color="auto" w:fill="auto"/>
            <w:vAlign w:val="bottom"/>
          </w:tcPr>
          <w:p w:rsidR="001B0C4A" w:rsidRPr="009A213C" w:rsidRDefault="001B0C4A" w:rsidP="009D0447">
            <w:pPr>
              <w:jc w:val="center"/>
              <w:rPr>
                <w:rFonts w:ascii="Arial" w:eastAsia="Times New Roman" w:hAnsi="Arial" w:cs="Arial"/>
              </w:rPr>
            </w:pPr>
            <w:r>
              <w:rPr>
                <w:rFonts w:ascii="Arial" w:hAnsi="Arial" w:cs="Arial"/>
                <w:color w:val="000000"/>
                <w:sz w:val="22"/>
                <w:szCs w:val="22"/>
              </w:rPr>
              <w:t>(</w:t>
            </w:r>
            <w:r w:rsidRPr="009A213C">
              <w:rPr>
                <w:rFonts w:ascii="Arial" w:hAnsi="Arial" w:cs="Arial"/>
                <w:color w:val="000000"/>
                <w:sz w:val="22"/>
                <w:szCs w:val="22"/>
              </w:rPr>
              <w:t>0.178</w:t>
            </w:r>
            <w:r>
              <w:rPr>
                <w:rFonts w:ascii="Arial" w:hAnsi="Arial" w:cs="Arial"/>
                <w:color w:val="000000"/>
                <w:sz w:val="22"/>
                <w:szCs w:val="22"/>
              </w:rPr>
              <w:t xml:space="preserve">, </w:t>
            </w:r>
            <w:r w:rsidRPr="009A213C">
              <w:rPr>
                <w:rFonts w:ascii="Arial" w:hAnsi="Arial" w:cs="Arial"/>
                <w:color w:val="000000"/>
                <w:sz w:val="22"/>
                <w:szCs w:val="22"/>
              </w:rPr>
              <w:t>0.1</w:t>
            </w:r>
            <w:r>
              <w:rPr>
                <w:rFonts w:ascii="Arial" w:hAnsi="Arial" w:cs="Arial"/>
                <w:color w:val="000000"/>
                <w:sz w:val="22"/>
                <w:szCs w:val="22"/>
              </w:rPr>
              <w:t>90)</w:t>
            </w:r>
          </w:p>
        </w:tc>
        <w:tc>
          <w:tcPr>
            <w:tcW w:w="709" w:type="dxa"/>
            <w:tcBorders>
              <w:top w:val="nil"/>
              <w:bottom w:val="nil"/>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0</w:t>
            </w:r>
          </w:p>
        </w:tc>
        <w:tc>
          <w:tcPr>
            <w:tcW w:w="709" w:type="dxa"/>
            <w:tcBorders>
              <w:top w:val="nil"/>
              <w:bottom w:val="nil"/>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1</w:t>
            </w:r>
          </w:p>
        </w:tc>
        <w:tc>
          <w:tcPr>
            <w:tcW w:w="1366" w:type="dxa"/>
            <w:tcBorders>
              <w:top w:val="nil"/>
              <w:bottom w:val="nil"/>
            </w:tcBorders>
          </w:tcPr>
          <w:p w:rsidR="001B0C4A" w:rsidRPr="00771204" w:rsidRDefault="001B0C4A" w:rsidP="009D0447">
            <w:pPr>
              <w:jc w:val="center"/>
              <w:rPr>
                <w:rFonts w:ascii="Arial" w:eastAsia="Times New Roman" w:hAnsi="Arial" w:cs="Arial"/>
              </w:rPr>
            </w:pPr>
            <w:r w:rsidRPr="00771204">
              <w:rPr>
                <w:rFonts w:ascii="Arial" w:eastAsia="Times New Roman" w:hAnsi="Arial" w:cs="Arial"/>
              </w:rPr>
              <w:t>25.60</w:t>
            </w:r>
          </w:p>
        </w:tc>
      </w:tr>
      <w:tr w:rsidR="001B0C4A" w:rsidRPr="00DB0395" w:rsidTr="00BE37B1">
        <w:tc>
          <w:tcPr>
            <w:tcW w:w="2645" w:type="dxa"/>
            <w:tcBorders>
              <w:top w:val="nil"/>
              <w:bottom w:val="nil"/>
            </w:tcBorders>
            <w:vAlign w:val="center"/>
          </w:tcPr>
          <w:p w:rsidR="001B0C4A" w:rsidRPr="009A213C" w:rsidRDefault="001B0C4A" w:rsidP="009D0447">
            <w:pPr>
              <w:rPr>
                <w:rFonts w:ascii="Arial" w:eastAsia="Times New Roman" w:hAnsi="Arial" w:cs="Arial"/>
                <w:highlight w:val="yellow"/>
              </w:rPr>
            </w:pPr>
            <w:r w:rsidRPr="009A213C">
              <w:rPr>
                <w:rFonts w:ascii="Arial" w:eastAsia="Times New Roman" w:hAnsi="Arial" w:cs="Arial"/>
              </w:rPr>
              <w:t xml:space="preserve">Reliability </w:t>
            </w:r>
          </w:p>
        </w:tc>
        <w:tc>
          <w:tcPr>
            <w:tcW w:w="899" w:type="dxa"/>
            <w:tcBorders>
              <w:top w:val="nil"/>
              <w:left w:val="nil"/>
              <w:bottom w:val="nil"/>
              <w:right w:val="nil"/>
            </w:tcBorders>
            <w:shd w:val="clear" w:color="auto" w:fill="auto"/>
            <w:vAlign w:val="bottom"/>
          </w:tcPr>
          <w:p w:rsidR="001B0C4A" w:rsidRPr="00F513FC" w:rsidRDefault="001B0C4A" w:rsidP="009D0447">
            <w:pPr>
              <w:jc w:val="center"/>
              <w:rPr>
                <w:rFonts w:ascii="Arial" w:eastAsia="Times New Roman" w:hAnsi="Arial" w:cs="Arial"/>
                <w:highlight w:val="yellow"/>
                <w:vertAlign w:val="superscript"/>
              </w:rPr>
            </w:pPr>
            <w:r w:rsidRPr="009A213C">
              <w:rPr>
                <w:rFonts w:ascii="Arial" w:hAnsi="Arial" w:cs="Arial"/>
                <w:color w:val="000000"/>
                <w:sz w:val="22"/>
                <w:szCs w:val="22"/>
              </w:rPr>
              <w:t>0.155</w:t>
            </w:r>
            <w:r>
              <w:rPr>
                <w:rFonts w:ascii="Arial" w:hAnsi="Arial" w:cs="Arial"/>
                <w:color w:val="000000"/>
                <w:sz w:val="22"/>
                <w:szCs w:val="22"/>
                <w:vertAlign w:val="superscript"/>
              </w:rPr>
              <w:t>c</w:t>
            </w:r>
          </w:p>
        </w:tc>
        <w:tc>
          <w:tcPr>
            <w:tcW w:w="992" w:type="dxa"/>
            <w:tcBorders>
              <w:top w:val="nil"/>
              <w:left w:val="nil"/>
              <w:bottom w:val="nil"/>
              <w:right w:val="nil"/>
            </w:tcBorders>
            <w:shd w:val="clear" w:color="auto" w:fill="auto"/>
            <w:vAlign w:val="bottom"/>
          </w:tcPr>
          <w:p w:rsidR="001B0C4A" w:rsidRPr="009A213C" w:rsidRDefault="001B0C4A" w:rsidP="009D0447">
            <w:pPr>
              <w:jc w:val="center"/>
              <w:rPr>
                <w:rFonts w:ascii="Arial" w:eastAsia="Times New Roman" w:hAnsi="Arial" w:cs="Arial"/>
                <w:highlight w:val="yellow"/>
              </w:rPr>
            </w:pPr>
            <w:r w:rsidRPr="009A213C">
              <w:rPr>
                <w:rFonts w:ascii="Arial" w:hAnsi="Arial" w:cs="Arial"/>
                <w:color w:val="000000"/>
                <w:sz w:val="22"/>
                <w:szCs w:val="22"/>
              </w:rPr>
              <w:t>0.126</w:t>
            </w:r>
          </w:p>
        </w:tc>
        <w:tc>
          <w:tcPr>
            <w:tcW w:w="1701" w:type="dxa"/>
            <w:tcBorders>
              <w:top w:val="nil"/>
              <w:bottom w:val="nil"/>
            </w:tcBorders>
            <w:shd w:val="clear" w:color="auto" w:fill="auto"/>
            <w:vAlign w:val="bottom"/>
          </w:tcPr>
          <w:p w:rsidR="001B0C4A" w:rsidRPr="009A213C" w:rsidRDefault="001B0C4A" w:rsidP="009D0447">
            <w:pPr>
              <w:jc w:val="center"/>
              <w:rPr>
                <w:rFonts w:ascii="Arial" w:eastAsia="Times New Roman" w:hAnsi="Arial" w:cs="Arial"/>
                <w:highlight w:val="yellow"/>
              </w:rPr>
            </w:pPr>
            <w:r>
              <w:rPr>
                <w:rFonts w:ascii="Arial" w:hAnsi="Arial" w:cs="Arial"/>
                <w:color w:val="000000"/>
                <w:sz w:val="22"/>
                <w:szCs w:val="22"/>
              </w:rPr>
              <w:t>(</w:t>
            </w:r>
            <w:r w:rsidRPr="009A213C">
              <w:rPr>
                <w:rFonts w:ascii="Arial" w:hAnsi="Arial" w:cs="Arial"/>
                <w:color w:val="000000"/>
                <w:sz w:val="22"/>
                <w:szCs w:val="22"/>
              </w:rPr>
              <w:t>0.149, 0.161</w:t>
            </w:r>
            <w:r>
              <w:rPr>
                <w:rFonts w:ascii="Arial" w:hAnsi="Arial" w:cs="Arial"/>
                <w:color w:val="000000"/>
                <w:sz w:val="22"/>
                <w:szCs w:val="22"/>
              </w:rPr>
              <w:t>)</w:t>
            </w:r>
          </w:p>
        </w:tc>
        <w:tc>
          <w:tcPr>
            <w:tcW w:w="709" w:type="dxa"/>
            <w:tcBorders>
              <w:top w:val="nil"/>
              <w:bottom w:val="nil"/>
            </w:tcBorders>
            <w:vAlign w:val="center"/>
          </w:tcPr>
          <w:p w:rsidR="001B0C4A" w:rsidRPr="009A213C" w:rsidRDefault="001B0C4A" w:rsidP="009D0447">
            <w:pPr>
              <w:jc w:val="center"/>
              <w:rPr>
                <w:rFonts w:ascii="Arial" w:eastAsia="Times New Roman" w:hAnsi="Arial" w:cs="Arial"/>
              </w:rPr>
            </w:pPr>
            <w:r w:rsidRPr="009A213C">
              <w:rPr>
                <w:rFonts w:ascii="Arial" w:eastAsia="Times New Roman" w:hAnsi="Arial" w:cs="Arial"/>
              </w:rPr>
              <w:t>0</w:t>
            </w:r>
          </w:p>
        </w:tc>
        <w:tc>
          <w:tcPr>
            <w:tcW w:w="709" w:type="dxa"/>
            <w:tcBorders>
              <w:top w:val="nil"/>
              <w:bottom w:val="nil"/>
            </w:tcBorders>
            <w:vAlign w:val="center"/>
          </w:tcPr>
          <w:p w:rsidR="001B0C4A" w:rsidRPr="009A213C" w:rsidRDefault="001B0C4A" w:rsidP="009D0447">
            <w:pPr>
              <w:jc w:val="center"/>
              <w:rPr>
                <w:rFonts w:ascii="Arial" w:eastAsia="Times New Roman" w:hAnsi="Arial" w:cs="Arial"/>
              </w:rPr>
            </w:pPr>
            <w:r w:rsidRPr="009A213C">
              <w:rPr>
                <w:rFonts w:ascii="Arial" w:eastAsia="Times New Roman" w:hAnsi="Arial" w:cs="Arial"/>
              </w:rPr>
              <w:t>1</w:t>
            </w:r>
          </w:p>
        </w:tc>
        <w:tc>
          <w:tcPr>
            <w:tcW w:w="1366" w:type="dxa"/>
            <w:tcBorders>
              <w:top w:val="nil"/>
              <w:bottom w:val="nil"/>
            </w:tcBorders>
          </w:tcPr>
          <w:p w:rsidR="001B0C4A" w:rsidRPr="00771204" w:rsidRDefault="001B0C4A" w:rsidP="009D0447">
            <w:pPr>
              <w:jc w:val="center"/>
              <w:rPr>
                <w:rFonts w:ascii="Arial" w:eastAsia="Times New Roman" w:hAnsi="Arial" w:cs="Arial"/>
              </w:rPr>
            </w:pPr>
            <w:r w:rsidRPr="00771204">
              <w:rPr>
                <w:rFonts w:ascii="Arial" w:eastAsia="Times New Roman" w:hAnsi="Arial" w:cs="Arial"/>
              </w:rPr>
              <w:t>18.31</w:t>
            </w:r>
          </w:p>
        </w:tc>
      </w:tr>
      <w:tr w:rsidR="001B0C4A" w:rsidRPr="00DB0395" w:rsidTr="00A2047B">
        <w:tc>
          <w:tcPr>
            <w:tcW w:w="2645" w:type="dxa"/>
            <w:tcBorders>
              <w:top w:val="nil"/>
              <w:bottom w:val="nil"/>
            </w:tcBorders>
            <w:vAlign w:val="center"/>
          </w:tcPr>
          <w:p w:rsidR="001B0C4A" w:rsidRPr="00DB0395" w:rsidRDefault="001B0C4A" w:rsidP="009D0447">
            <w:pPr>
              <w:rPr>
                <w:rFonts w:ascii="Arial" w:eastAsia="Times New Roman" w:hAnsi="Arial" w:cs="Arial"/>
              </w:rPr>
            </w:pPr>
            <w:r w:rsidRPr="00DB0395">
              <w:rPr>
                <w:rFonts w:ascii="Arial" w:eastAsia="Times New Roman" w:hAnsi="Arial" w:cs="Arial"/>
              </w:rPr>
              <w:t>Accessibility</w:t>
            </w:r>
          </w:p>
        </w:tc>
        <w:tc>
          <w:tcPr>
            <w:tcW w:w="899" w:type="dxa"/>
            <w:tcBorders>
              <w:top w:val="nil"/>
              <w:left w:val="nil"/>
              <w:bottom w:val="nil"/>
              <w:right w:val="nil"/>
            </w:tcBorders>
            <w:shd w:val="clear" w:color="auto" w:fill="auto"/>
            <w:vAlign w:val="bottom"/>
          </w:tcPr>
          <w:p w:rsidR="001B0C4A" w:rsidRPr="00F513FC" w:rsidRDefault="001B0C4A" w:rsidP="009D0447">
            <w:pPr>
              <w:jc w:val="center"/>
              <w:rPr>
                <w:rFonts w:ascii="Arial" w:eastAsia="Times New Roman" w:hAnsi="Arial" w:cs="Arial"/>
                <w:vertAlign w:val="superscript"/>
              </w:rPr>
            </w:pPr>
            <w:r w:rsidRPr="009A213C">
              <w:rPr>
                <w:rFonts w:ascii="Arial" w:hAnsi="Arial" w:cs="Arial"/>
                <w:color w:val="000000"/>
                <w:sz w:val="22"/>
                <w:szCs w:val="22"/>
              </w:rPr>
              <w:t>0.130</w:t>
            </w:r>
            <w:r>
              <w:rPr>
                <w:rFonts w:ascii="Arial" w:hAnsi="Arial" w:cs="Arial"/>
                <w:color w:val="000000"/>
                <w:sz w:val="22"/>
                <w:szCs w:val="22"/>
                <w:vertAlign w:val="superscript"/>
              </w:rPr>
              <w:t>d</w:t>
            </w:r>
          </w:p>
        </w:tc>
        <w:tc>
          <w:tcPr>
            <w:tcW w:w="992" w:type="dxa"/>
            <w:tcBorders>
              <w:top w:val="nil"/>
              <w:left w:val="nil"/>
              <w:bottom w:val="nil"/>
              <w:right w:val="nil"/>
            </w:tcBorders>
            <w:shd w:val="clear" w:color="auto" w:fill="auto"/>
            <w:vAlign w:val="bottom"/>
          </w:tcPr>
          <w:p w:rsidR="001B0C4A" w:rsidRPr="009A213C" w:rsidRDefault="001B0C4A" w:rsidP="009D0447">
            <w:pPr>
              <w:jc w:val="center"/>
              <w:rPr>
                <w:rFonts w:ascii="Arial" w:eastAsia="Times New Roman" w:hAnsi="Arial" w:cs="Arial"/>
              </w:rPr>
            </w:pPr>
            <w:r w:rsidRPr="009A213C">
              <w:rPr>
                <w:rFonts w:ascii="Arial" w:hAnsi="Arial" w:cs="Arial"/>
                <w:color w:val="000000"/>
                <w:sz w:val="22"/>
                <w:szCs w:val="22"/>
              </w:rPr>
              <w:t>0.111</w:t>
            </w:r>
          </w:p>
        </w:tc>
        <w:tc>
          <w:tcPr>
            <w:tcW w:w="1701" w:type="dxa"/>
            <w:tcBorders>
              <w:top w:val="nil"/>
              <w:bottom w:val="nil"/>
            </w:tcBorders>
            <w:shd w:val="clear" w:color="auto" w:fill="auto"/>
            <w:vAlign w:val="bottom"/>
          </w:tcPr>
          <w:p w:rsidR="001B0C4A" w:rsidRPr="009A213C" w:rsidRDefault="001B0C4A" w:rsidP="009D0447">
            <w:pPr>
              <w:jc w:val="center"/>
              <w:rPr>
                <w:rFonts w:ascii="Arial" w:eastAsia="Times New Roman" w:hAnsi="Arial" w:cs="Arial"/>
              </w:rPr>
            </w:pPr>
            <w:r>
              <w:rPr>
                <w:rFonts w:ascii="Arial" w:hAnsi="Arial" w:cs="Arial"/>
                <w:color w:val="000000"/>
                <w:sz w:val="22"/>
                <w:szCs w:val="22"/>
              </w:rPr>
              <w:t>(</w:t>
            </w:r>
            <w:r w:rsidRPr="009A213C">
              <w:rPr>
                <w:rFonts w:ascii="Arial" w:hAnsi="Arial" w:cs="Arial"/>
                <w:color w:val="000000"/>
                <w:sz w:val="22"/>
                <w:szCs w:val="22"/>
              </w:rPr>
              <w:t>0.125</w:t>
            </w:r>
            <w:r>
              <w:rPr>
                <w:rFonts w:ascii="Arial" w:hAnsi="Arial" w:cs="Arial"/>
                <w:color w:val="000000"/>
                <w:sz w:val="22"/>
                <w:szCs w:val="22"/>
              </w:rPr>
              <w:t xml:space="preserve">, </w:t>
            </w:r>
            <w:r w:rsidRPr="009A213C">
              <w:rPr>
                <w:rFonts w:ascii="Arial" w:hAnsi="Arial" w:cs="Arial"/>
                <w:color w:val="000000"/>
                <w:sz w:val="22"/>
                <w:szCs w:val="22"/>
              </w:rPr>
              <w:t>0.13</w:t>
            </w:r>
            <w:r>
              <w:rPr>
                <w:rFonts w:ascii="Arial" w:hAnsi="Arial" w:cs="Arial"/>
                <w:color w:val="000000"/>
                <w:sz w:val="22"/>
                <w:szCs w:val="22"/>
              </w:rPr>
              <w:t>5)</w:t>
            </w:r>
          </w:p>
        </w:tc>
        <w:tc>
          <w:tcPr>
            <w:tcW w:w="709" w:type="dxa"/>
            <w:tcBorders>
              <w:top w:val="nil"/>
              <w:bottom w:val="nil"/>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0</w:t>
            </w:r>
          </w:p>
        </w:tc>
        <w:tc>
          <w:tcPr>
            <w:tcW w:w="709" w:type="dxa"/>
            <w:tcBorders>
              <w:top w:val="nil"/>
              <w:bottom w:val="nil"/>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1</w:t>
            </w:r>
          </w:p>
        </w:tc>
        <w:tc>
          <w:tcPr>
            <w:tcW w:w="1366" w:type="dxa"/>
            <w:tcBorders>
              <w:top w:val="nil"/>
              <w:bottom w:val="nil"/>
            </w:tcBorders>
          </w:tcPr>
          <w:p w:rsidR="001B0C4A" w:rsidRPr="00771204" w:rsidRDefault="001B0C4A" w:rsidP="009D0447">
            <w:pPr>
              <w:jc w:val="center"/>
              <w:rPr>
                <w:rFonts w:ascii="Arial" w:eastAsia="Times New Roman" w:hAnsi="Arial" w:cs="Arial"/>
              </w:rPr>
            </w:pPr>
            <w:r w:rsidRPr="00771204">
              <w:rPr>
                <w:rFonts w:ascii="Arial" w:eastAsia="Times New Roman" w:hAnsi="Arial" w:cs="Arial"/>
              </w:rPr>
              <w:t>12.66</w:t>
            </w:r>
          </w:p>
        </w:tc>
      </w:tr>
      <w:tr w:rsidR="001B0C4A" w:rsidRPr="00DB0395" w:rsidTr="00A2047B">
        <w:tc>
          <w:tcPr>
            <w:tcW w:w="2645" w:type="dxa"/>
            <w:tcBorders>
              <w:top w:val="nil"/>
              <w:bottom w:val="single" w:sz="4" w:space="0" w:color="auto"/>
            </w:tcBorders>
            <w:vAlign w:val="center"/>
          </w:tcPr>
          <w:p w:rsidR="001B0C4A" w:rsidRPr="00DB0395" w:rsidRDefault="001B0C4A" w:rsidP="009D0447">
            <w:pPr>
              <w:rPr>
                <w:rFonts w:ascii="Arial" w:eastAsia="Times New Roman" w:hAnsi="Arial" w:cs="Arial"/>
              </w:rPr>
            </w:pPr>
            <w:r w:rsidRPr="00DB0395">
              <w:rPr>
                <w:rFonts w:ascii="Arial" w:eastAsia="Times New Roman" w:hAnsi="Arial" w:cs="Arial"/>
              </w:rPr>
              <w:t>Job creation</w:t>
            </w:r>
          </w:p>
        </w:tc>
        <w:tc>
          <w:tcPr>
            <w:tcW w:w="899" w:type="dxa"/>
            <w:tcBorders>
              <w:top w:val="nil"/>
              <w:left w:val="nil"/>
              <w:bottom w:val="single" w:sz="4" w:space="0" w:color="auto"/>
              <w:right w:val="nil"/>
            </w:tcBorders>
            <w:shd w:val="clear" w:color="auto" w:fill="auto"/>
            <w:vAlign w:val="bottom"/>
          </w:tcPr>
          <w:p w:rsidR="001B0C4A" w:rsidRPr="00F513FC" w:rsidRDefault="001B0C4A" w:rsidP="009D0447">
            <w:pPr>
              <w:jc w:val="center"/>
              <w:rPr>
                <w:rFonts w:ascii="Arial" w:eastAsia="Times New Roman" w:hAnsi="Arial" w:cs="Arial"/>
                <w:vertAlign w:val="superscript"/>
              </w:rPr>
            </w:pPr>
            <w:r w:rsidRPr="009A213C">
              <w:rPr>
                <w:rFonts w:ascii="Arial" w:hAnsi="Arial" w:cs="Arial"/>
                <w:color w:val="000000"/>
                <w:sz w:val="22"/>
                <w:szCs w:val="22"/>
              </w:rPr>
              <w:t>0.124</w:t>
            </w:r>
            <w:r>
              <w:rPr>
                <w:rFonts w:ascii="Arial" w:hAnsi="Arial" w:cs="Arial"/>
                <w:color w:val="000000"/>
                <w:sz w:val="22"/>
                <w:szCs w:val="22"/>
                <w:vertAlign w:val="superscript"/>
              </w:rPr>
              <w:t>d</w:t>
            </w:r>
          </w:p>
        </w:tc>
        <w:tc>
          <w:tcPr>
            <w:tcW w:w="992" w:type="dxa"/>
            <w:tcBorders>
              <w:top w:val="nil"/>
              <w:left w:val="nil"/>
              <w:bottom w:val="single" w:sz="4" w:space="0" w:color="auto"/>
              <w:right w:val="nil"/>
            </w:tcBorders>
            <w:shd w:val="clear" w:color="auto" w:fill="auto"/>
            <w:vAlign w:val="bottom"/>
          </w:tcPr>
          <w:p w:rsidR="001B0C4A" w:rsidRPr="009A213C" w:rsidRDefault="001B0C4A" w:rsidP="009D0447">
            <w:pPr>
              <w:jc w:val="center"/>
              <w:rPr>
                <w:rFonts w:ascii="Arial" w:eastAsia="Times New Roman" w:hAnsi="Arial" w:cs="Arial"/>
              </w:rPr>
            </w:pPr>
            <w:r w:rsidRPr="009A213C">
              <w:rPr>
                <w:rFonts w:ascii="Arial" w:hAnsi="Arial" w:cs="Arial"/>
                <w:color w:val="000000"/>
                <w:sz w:val="22"/>
                <w:szCs w:val="22"/>
              </w:rPr>
              <w:t>0.117</w:t>
            </w:r>
          </w:p>
        </w:tc>
        <w:tc>
          <w:tcPr>
            <w:tcW w:w="1701" w:type="dxa"/>
            <w:tcBorders>
              <w:top w:val="nil"/>
              <w:bottom w:val="single" w:sz="4" w:space="0" w:color="auto"/>
            </w:tcBorders>
            <w:shd w:val="clear" w:color="auto" w:fill="auto"/>
            <w:vAlign w:val="bottom"/>
          </w:tcPr>
          <w:p w:rsidR="001B0C4A" w:rsidRPr="009A213C" w:rsidRDefault="001B0C4A" w:rsidP="009D0447">
            <w:pPr>
              <w:jc w:val="center"/>
              <w:rPr>
                <w:rFonts w:ascii="Arial" w:eastAsia="Times New Roman" w:hAnsi="Arial" w:cs="Arial"/>
              </w:rPr>
            </w:pPr>
            <w:r>
              <w:rPr>
                <w:rFonts w:ascii="Arial" w:hAnsi="Arial" w:cs="Arial"/>
                <w:color w:val="000000"/>
                <w:sz w:val="22"/>
                <w:szCs w:val="22"/>
              </w:rPr>
              <w:t>(</w:t>
            </w:r>
            <w:r w:rsidRPr="009A213C">
              <w:rPr>
                <w:rFonts w:ascii="Arial" w:hAnsi="Arial" w:cs="Arial"/>
                <w:color w:val="000000"/>
                <w:sz w:val="22"/>
                <w:szCs w:val="22"/>
              </w:rPr>
              <w:t>0.1</w:t>
            </w:r>
            <w:r>
              <w:rPr>
                <w:rFonts w:ascii="Arial" w:hAnsi="Arial" w:cs="Arial"/>
                <w:color w:val="000000"/>
                <w:sz w:val="22"/>
                <w:szCs w:val="22"/>
              </w:rPr>
              <w:t xml:space="preserve">19, </w:t>
            </w:r>
            <w:r w:rsidRPr="009A213C">
              <w:rPr>
                <w:rFonts w:ascii="Arial" w:hAnsi="Arial" w:cs="Arial"/>
                <w:color w:val="000000"/>
                <w:sz w:val="22"/>
                <w:szCs w:val="22"/>
              </w:rPr>
              <w:t>0.130</w:t>
            </w:r>
            <w:r>
              <w:rPr>
                <w:rFonts w:ascii="Arial" w:hAnsi="Arial" w:cs="Arial"/>
                <w:color w:val="000000"/>
                <w:sz w:val="22"/>
                <w:szCs w:val="22"/>
              </w:rPr>
              <w:t>)</w:t>
            </w:r>
          </w:p>
        </w:tc>
        <w:tc>
          <w:tcPr>
            <w:tcW w:w="709" w:type="dxa"/>
            <w:tcBorders>
              <w:top w:val="nil"/>
              <w:bottom w:val="single" w:sz="4" w:space="0" w:color="auto"/>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0</w:t>
            </w:r>
          </w:p>
        </w:tc>
        <w:tc>
          <w:tcPr>
            <w:tcW w:w="709" w:type="dxa"/>
            <w:tcBorders>
              <w:top w:val="nil"/>
              <w:bottom w:val="single" w:sz="4" w:space="0" w:color="auto"/>
            </w:tcBorders>
            <w:vAlign w:val="center"/>
          </w:tcPr>
          <w:p w:rsidR="001B0C4A" w:rsidRPr="00DB0395" w:rsidRDefault="001B0C4A" w:rsidP="009D0447">
            <w:pPr>
              <w:jc w:val="center"/>
              <w:rPr>
                <w:rFonts w:ascii="Arial" w:eastAsia="Times New Roman" w:hAnsi="Arial" w:cs="Arial"/>
              </w:rPr>
            </w:pPr>
            <w:r w:rsidRPr="00DB0395">
              <w:rPr>
                <w:rFonts w:ascii="Arial" w:eastAsia="Times New Roman" w:hAnsi="Arial" w:cs="Arial"/>
              </w:rPr>
              <w:t>1</w:t>
            </w:r>
          </w:p>
        </w:tc>
        <w:tc>
          <w:tcPr>
            <w:tcW w:w="1366" w:type="dxa"/>
            <w:tcBorders>
              <w:top w:val="nil"/>
              <w:bottom w:val="single" w:sz="4" w:space="0" w:color="auto"/>
            </w:tcBorders>
          </w:tcPr>
          <w:p w:rsidR="001B0C4A" w:rsidRPr="00771204" w:rsidRDefault="001B0C4A" w:rsidP="009D0447">
            <w:pPr>
              <w:jc w:val="center"/>
              <w:rPr>
                <w:rFonts w:ascii="Arial" w:eastAsia="Times New Roman" w:hAnsi="Arial" w:cs="Arial"/>
              </w:rPr>
            </w:pPr>
            <w:r w:rsidRPr="00771204">
              <w:rPr>
                <w:rFonts w:ascii="Arial" w:eastAsia="Times New Roman" w:hAnsi="Arial" w:cs="Arial"/>
              </w:rPr>
              <w:t>11.24</w:t>
            </w:r>
          </w:p>
        </w:tc>
      </w:tr>
    </w:tbl>
    <w:p w:rsidR="001B0C4A" w:rsidRDefault="001B0C4A" w:rsidP="009D0447">
      <w:pPr>
        <w:spacing w:line="240" w:lineRule="auto"/>
      </w:pPr>
      <w:r w:rsidRPr="0023703F">
        <w:rPr>
          <w:sz w:val="20"/>
          <w:u w:val="single"/>
        </w:rPr>
        <w:t>Note</w:t>
      </w:r>
      <w:r>
        <w:rPr>
          <w:sz w:val="20"/>
        </w:rPr>
        <w:t xml:space="preserve">: </w:t>
      </w:r>
      <w:r>
        <w:rPr>
          <w:sz w:val="20"/>
          <w:vertAlign w:val="superscript"/>
        </w:rPr>
        <w:t xml:space="preserve">† </w:t>
      </w:r>
      <w:r>
        <w:rPr>
          <w:sz w:val="20"/>
        </w:rPr>
        <w:t>R</w:t>
      </w:r>
      <w:r w:rsidRPr="007026F2">
        <w:rPr>
          <w:sz w:val="20"/>
        </w:rPr>
        <w:t>ated most important</w:t>
      </w:r>
      <w:r>
        <w:rPr>
          <w:sz w:val="20"/>
        </w:rPr>
        <w:t xml:space="preserve"> (%)</w:t>
      </w:r>
      <w:r w:rsidRPr="007026F2">
        <w:rPr>
          <w:sz w:val="20"/>
        </w:rPr>
        <w:t xml:space="preserve"> sum</w:t>
      </w:r>
      <w:r>
        <w:rPr>
          <w:sz w:val="20"/>
        </w:rPr>
        <w:t xml:space="preserve"> exceeds 100 because more than one characteristic could have equal highest importance weighting. Means denoted with different superscript letters were statistically significantly different at p≤0.05 based on Tukey’s Honestly Significantly Difference Test.</w:t>
      </w:r>
      <w:r>
        <w:br w:type="page"/>
      </w:r>
    </w:p>
    <w:p w:rsidR="001B0C4A" w:rsidRPr="005A4218" w:rsidRDefault="001B0C4A" w:rsidP="009D0447">
      <w:pPr>
        <w:spacing w:after="0" w:line="240" w:lineRule="auto"/>
        <w:rPr>
          <w:b/>
        </w:rPr>
      </w:pPr>
      <w:r w:rsidRPr="005A4218">
        <w:rPr>
          <w:b/>
        </w:rPr>
        <w:lastRenderedPageBreak/>
        <w:t xml:space="preserve">Table 2. </w:t>
      </w:r>
      <w:r w:rsidRPr="005F52B1">
        <w:t>S</w:t>
      </w:r>
      <w:r>
        <w:t>ample s</w:t>
      </w:r>
      <w:r w:rsidRPr="005F52B1">
        <w:t>ummary statistics</w:t>
      </w:r>
      <w:r>
        <w:t xml:space="preserve">, </w:t>
      </w:r>
      <w:r w:rsidRPr="005F52B1">
        <w:t>explanatory variables (n=1824).</w:t>
      </w:r>
    </w:p>
    <w:tbl>
      <w:tblPr>
        <w:tblStyle w:val="TableGrid1"/>
        <w:tblW w:w="9352"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080"/>
        <w:gridCol w:w="3769"/>
        <w:gridCol w:w="212"/>
        <w:gridCol w:w="1457"/>
        <w:gridCol w:w="142"/>
        <w:gridCol w:w="713"/>
        <w:gridCol w:w="972"/>
        <w:gridCol w:w="7"/>
      </w:tblGrid>
      <w:tr w:rsidR="001B0C4A" w:rsidRPr="006975AB" w:rsidTr="00BE37B1">
        <w:trPr>
          <w:trHeight w:val="227"/>
        </w:trPr>
        <w:tc>
          <w:tcPr>
            <w:tcW w:w="2080" w:type="dxa"/>
            <w:tcBorders>
              <w:bottom w:val="single" w:sz="4" w:space="0" w:color="auto"/>
            </w:tcBorders>
            <w:vAlign w:val="center"/>
          </w:tcPr>
          <w:p w:rsidR="001B0C4A" w:rsidRPr="006975AB" w:rsidRDefault="001B0C4A" w:rsidP="009D0447">
            <w:pPr>
              <w:rPr>
                <w:rFonts w:ascii="Arial" w:eastAsia="Times New Roman" w:hAnsi="Arial" w:cs="Arial"/>
                <w:b/>
              </w:rPr>
            </w:pPr>
            <w:r w:rsidRPr="006975AB">
              <w:rPr>
                <w:rFonts w:ascii="Arial" w:eastAsia="Times New Roman" w:hAnsi="Arial" w:cs="Arial"/>
                <w:b/>
              </w:rPr>
              <w:t>Variable</w:t>
            </w:r>
          </w:p>
        </w:tc>
        <w:tc>
          <w:tcPr>
            <w:tcW w:w="3981" w:type="dxa"/>
            <w:gridSpan w:val="2"/>
            <w:tcBorders>
              <w:bottom w:val="single" w:sz="4" w:space="0" w:color="auto"/>
            </w:tcBorders>
            <w:vAlign w:val="center"/>
          </w:tcPr>
          <w:p w:rsidR="001B0C4A" w:rsidRPr="006975AB" w:rsidRDefault="001B0C4A" w:rsidP="009D0447">
            <w:pPr>
              <w:tabs>
                <w:tab w:val="right" w:pos="3270"/>
              </w:tabs>
              <w:rPr>
                <w:rFonts w:ascii="Arial" w:eastAsia="Times New Roman" w:hAnsi="Arial" w:cs="Arial"/>
                <w:b/>
              </w:rPr>
            </w:pPr>
            <w:r w:rsidRPr="006975AB">
              <w:rPr>
                <w:rFonts w:ascii="Arial" w:eastAsia="Times New Roman" w:hAnsi="Arial" w:cs="Arial"/>
                <w:b/>
              </w:rPr>
              <w:t>Definition</w:t>
            </w:r>
            <w:r w:rsidRPr="006975AB">
              <w:rPr>
                <w:rFonts w:ascii="Arial" w:eastAsia="Times New Roman" w:hAnsi="Arial" w:cs="Arial"/>
                <w:b/>
              </w:rPr>
              <w:tab/>
            </w:r>
          </w:p>
        </w:tc>
        <w:tc>
          <w:tcPr>
            <w:tcW w:w="1457" w:type="dxa"/>
            <w:tcBorders>
              <w:bottom w:val="single" w:sz="4" w:space="0" w:color="auto"/>
            </w:tcBorders>
          </w:tcPr>
          <w:p w:rsidR="001B0C4A" w:rsidRPr="006975AB" w:rsidRDefault="001B0C4A" w:rsidP="009D0447">
            <w:pPr>
              <w:tabs>
                <w:tab w:val="right" w:pos="3270"/>
              </w:tabs>
              <w:jc w:val="center"/>
              <w:rPr>
                <w:rFonts w:ascii="Arial" w:eastAsia="Times New Roman" w:hAnsi="Arial" w:cs="Arial"/>
                <w:b/>
              </w:rPr>
            </w:pPr>
            <w:r w:rsidRPr="006975AB">
              <w:rPr>
                <w:rFonts w:ascii="Arial" w:eastAsia="Times New Roman" w:hAnsi="Arial" w:cs="Arial"/>
                <w:b/>
              </w:rPr>
              <w:t xml:space="preserve">Mean </w:t>
            </w:r>
          </w:p>
          <w:p w:rsidR="001B0C4A" w:rsidRPr="006975AB" w:rsidRDefault="001B0C4A" w:rsidP="009D0447">
            <w:pPr>
              <w:tabs>
                <w:tab w:val="right" w:pos="3270"/>
              </w:tabs>
              <w:jc w:val="center"/>
              <w:rPr>
                <w:rFonts w:ascii="Arial" w:eastAsia="Times New Roman" w:hAnsi="Arial" w:cs="Arial"/>
                <w:b/>
              </w:rPr>
            </w:pPr>
            <w:r w:rsidRPr="006975AB">
              <w:rPr>
                <w:rFonts w:ascii="Arial" w:eastAsia="Times New Roman" w:hAnsi="Arial" w:cs="Arial"/>
                <w:b/>
              </w:rPr>
              <w:t>(std. dev.)</w:t>
            </w:r>
          </w:p>
        </w:tc>
        <w:tc>
          <w:tcPr>
            <w:tcW w:w="855" w:type="dxa"/>
            <w:gridSpan w:val="2"/>
            <w:tcBorders>
              <w:bottom w:val="single" w:sz="4" w:space="0" w:color="auto"/>
            </w:tcBorders>
            <w:vAlign w:val="center"/>
          </w:tcPr>
          <w:p w:rsidR="001B0C4A" w:rsidRPr="006975AB" w:rsidRDefault="001B0C4A" w:rsidP="009D0447">
            <w:pPr>
              <w:tabs>
                <w:tab w:val="right" w:pos="3270"/>
              </w:tabs>
              <w:jc w:val="center"/>
              <w:rPr>
                <w:rFonts w:ascii="Arial" w:eastAsia="Times New Roman" w:hAnsi="Arial" w:cs="Arial"/>
                <w:b/>
              </w:rPr>
            </w:pPr>
            <w:r w:rsidRPr="006975AB">
              <w:rPr>
                <w:rFonts w:ascii="Arial" w:eastAsia="Times New Roman" w:hAnsi="Arial" w:cs="Arial"/>
                <w:b/>
              </w:rPr>
              <w:t>Min</w:t>
            </w:r>
          </w:p>
        </w:tc>
        <w:tc>
          <w:tcPr>
            <w:tcW w:w="979" w:type="dxa"/>
            <w:gridSpan w:val="2"/>
            <w:tcBorders>
              <w:bottom w:val="single" w:sz="4" w:space="0" w:color="auto"/>
            </w:tcBorders>
            <w:vAlign w:val="center"/>
          </w:tcPr>
          <w:p w:rsidR="001B0C4A" w:rsidRPr="006975AB" w:rsidRDefault="001B0C4A" w:rsidP="009D0447">
            <w:pPr>
              <w:tabs>
                <w:tab w:val="right" w:pos="3270"/>
              </w:tabs>
              <w:jc w:val="center"/>
              <w:rPr>
                <w:rFonts w:ascii="Arial" w:eastAsia="Times New Roman" w:hAnsi="Arial" w:cs="Arial"/>
                <w:b/>
              </w:rPr>
            </w:pPr>
            <w:r w:rsidRPr="006975AB">
              <w:rPr>
                <w:rFonts w:ascii="Arial" w:eastAsia="Times New Roman" w:hAnsi="Arial" w:cs="Arial"/>
                <w:b/>
              </w:rPr>
              <w:t>Max</w:t>
            </w:r>
          </w:p>
        </w:tc>
      </w:tr>
      <w:tr w:rsidR="001B0C4A" w:rsidRPr="006975AB" w:rsidTr="00BE37B1">
        <w:trPr>
          <w:trHeight w:val="227"/>
        </w:trPr>
        <w:tc>
          <w:tcPr>
            <w:tcW w:w="2080" w:type="dxa"/>
            <w:tcBorders>
              <w:bottom w:val="nil"/>
            </w:tcBorders>
          </w:tcPr>
          <w:p w:rsidR="001B0C4A" w:rsidRPr="006975AB" w:rsidRDefault="001B0C4A" w:rsidP="009D0447">
            <w:pPr>
              <w:rPr>
                <w:rFonts w:ascii="Arial" w:eastAsia="Times New Roman" w:hAnsi="Arial" w:cs="Arial"/>
              </w:rPr>
            </w:pPr>
            <w:r>
              <w:rPr>
                <w:rFonts w:ascii="Arial" w:eastAsia="Times New Roman" w:hAnsi="Arial" w:cs="Arial"/>
              </w:rPr>
              <w:t xml:space="preserve">State (Victoria) </w:t>
            </w:r>
          </w:p>
        </w:tc>
        <w:tc>
          <w:tcPr>
            <w:tcW w:w="3981" w:type="dxa"/>
            <w:gridSpan w:val="2"/>
            <w:tcBorders>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1=Victoria; 0=South Australia</w:t>
            </w:r>
          </w:p>
        </w:tc>
        <w:tc>
          <w:tcPr>
            <w:tcW w:w="1457" w:type="dxa"/>
            <w:tcBorders>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0.51 (0.50)</w:t>
            </w:r>
          </w:p>
        </w:tc>
        <w:tc>
          <w:tcPr>
            <w:tcW w:w="855" w:type="dxa"/>
            <w:gridSpan w:val="2"/>
            <w:tcBorders>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Urban</w:t>
            </w: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1=Metropolitan Adelaide/Melbourne; 0=Regional area</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0.72 (0.45)</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tcPr>
          <w:p w:rsidR="001B0C4A" w:rsidRPr="006975AB" w:rsidRDefault="001B0C4A" w:rsidP="009D0447">
            <w:pPr>
              <w:rPr>
                <w:rFonts w:ascii="Arial" w:eastAsia="Times New Roman" w:hAnsi="Arial" w:cs="Arial"/>
              </w:rPr>
            </w:pPr>
            <w:r>
              <w:rPr>
                <w:rFonts w:ascii="Arial" w:eastAsia="Times New Roman" w:hAnsi="Arial" w:cs="Arial"/>
              </w:rPr>
              <w:t>Men</w:t>
            </w: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1=Me</w:t>
            </w:r>
            <w:r>
              <w:rPr>
                <w:rFonts w:ascii="Arial" w:eastAsia="Times New Roman" w:hAnsi="Arial" w:cs="Arial"/>
              </w:rPr>
              <w:t>n</w:t>
            </w:r>
            <w:r w:rsidRPr="006975AB">
              <w:rPr>
                <w:rFonts w:ascii="Arial" w:eastAsia="Times New Roman" w:hAnsi="Arial" w:cs="Arial"/>
              </w:rPr>
              <w:t>; 0=Otherwise</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0.45 (0.50)</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Older respondents</w:t>
            </w: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1=65 years and above; 0=18–64 years</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0.23 (0.42)</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University educated</w:t>
            </w: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1=University education; 0=Otherwise</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0.40 (0.49)</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gridAfter w:val="1"/>
          <w:wAfter w:w="7" w:type="dxa"/>
          <w:trHeight w:val="227"/>
        </w:trPr>
        <w:tc>
          <w:tcPr>
            <w:tcW w:w="2080" w:type="dxa"/>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 xml:space="preserve">Household </w:t>
            </w:r>
            <w:proofErr w:type="spellStart"/>
            <w:r w:rsidRPr="006975AB">
              <w:rPr>
                <w:rFonts w:ascii="Arial" w:eastAsia="Times New Roman" w:hAnsi="Arial" w:cs="Arial"/>
              </w:rPr>
              <w:t>income</w:t>
            </w:r>
            <w:r w:rsidRPr="006975AB">
              <w:rPr>
                <w:rFonts w:ascii="Arial" w:eastAsia="Times New Roman" w:hAnsi="Arial" w:cs="Arial"/>
                <w:vertAlign w:val="superscript"/>
              </w:rPr>
              <w:t>a</w:t>
            </w:r>
            <w:proofErr w:type="spellEnd"/>
          </w:p>
        </w:tc>
        <w:tc>
          <w:tcPr>
            <w:tcW w:w="3769" w:type="dxa"/>
            <w:tcBorders>
              <w:top w:val="nil"/>
              <w:bottom w:val="nil"/>
            </w:tcBorders>
            <w:shd w:val="clear" w:color="auto" w:fill="auto"/>
            <w:vAlign w:val="center"/>
          </w:tcPr>
          <w:p w:rsidR="001B0C4A" w:rsidRPr="006975AB" w:rsidRDefault="001B0C4A" w:rsidP="009D0447">
            <w:pPr>
              <w:rPr>
                <w:rFonts w:ascii="Arial" w:eastAsia="Times New Roman" w:hAnsi="Arial" w:cs="Arial"/>
              </w:rPr>
            </w:pPr>
            <w:r w:rsidRPr="006975AB">
              <w:rPr>
                <w:rFonts w:ascii="Arial" w:hAnsi="Arial" w:cs="Arial"/>
              </w:rPr>
              <w:t>T</w:t>
            </w:r>
            <w:r>
              <w:rPr>
                <w:rFonts w:ascii="Arial" w:hAnsi="Arial" w:cs="Arial"/>
              </w:rPr>
              <w:t>h</w:t>
            </w:r>
            <w:r w:rsidRPr="006975AB">
              <w:rPr>
                <w:rFonts w:ascii="Arial" w:hAnsi="Arial" w:cs="Arial"/>
              </w:rPr>
              <w:t>ousands of AUD per year</w:t>
            </w:r>
          </w:p>
        </w:tc>
        <w:tc>
          <w:tcPr>
            <w:tcW w:w="1669" w:type="dxa"/>
            <w:gridSpan w:val="2"/>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86</w:t>
            </w:r>
            <w:r>
              <w:rPr>
                <w:rFonts w:ascii="Arial" w:eastAsia="Times New Roman" w:hAnsi="Arial" w:cs="Arial"/>
              </w:rPr>
              <w:t>.76</w:t>
            </w:r>
            <w:r w:rsidRPr="006975AB">
              <w:rPr>
                <w:rFonts w:ascii="Arial" w:eastAsia="Times New Roman" w:hAnsi="Arial" w:cs="Arial"/>
              </w:rPr>
              <w:t xml:space="preserve"> (5</w:t>
            </w:r>
            <w:r>
              <w:rPr>
                <w:rFonts w:ascii="Arial" w:eastAsia="Times New Roman" w:hAnsi="Arial" w:cs="Arial"/>
              </w:rPr>
              <w:t>3.68</w:t>
            </w:r>
            <w:r w:rsidRPr="006975AB">
              <w:rPr>
                <w:rFonts w:ascii="Arial" w:eastAsia="Times New Roman" w:hAnsi="Arial" w:cs="Arial"/>
              </w:rPr>
              <w:t>)</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24</w:t>
            </w:r>
            <w:r>
              <w:rPr>
                <w:rFonts w:ascii="Arial" w:eastAsia="Times New Roman" w:hAnsi="Arial" w:cs="Arial"/>
              </w:rPr>
              <w:t>.</w:t>
            </w:r>
            <w:r w:rsidRPr="006975AB">
              <w:rPr>
                <w:rFonts w:ascii="Arial" w:eastAsia="Times New Roman" w:hAnsi="Arial" w:cs="Arial"/>
              </w:rPr>
              <w:t>5</w:t>
            </w:r>
            <w:r>
              <w:rPr>
                <w:rFonts w:ascii="Arial" w:eastAsia="Times New Roman" w:hAnsi="Arial" w:cs="Arial"/>
              </w:rPr>
              <w:t>0</w:t>
            </w:r>
          </w:p>
        </w:tc>
        <w:tc>
          <w:tcPr>
            <w:tcW w:w="972" w:type="dxa"/>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222</w:t>
            </w:r>
            <w:r>
              <w:rPr>
                <w:rFonts w:ascii="Arial" w:eastAsia="Times New Roman" w:hAnsi="Arial" w:cs="Arial"/>
              </w:rPr>
              <w:t>.</w:t>
            </w:r>
            <w:r w:rsidRPr="006975AB">
              <w:rPr>
                <w:rFonts w:ascii="Arial" w:eastAsia="Times New Roman" w:hAnsi="Arial" w:cs="Arial"/>
              </w:rPr>
              <w:t>3</w:t>
            </w:r>
            <w:r>
              <w:rPr>
                <w:rFonts w:ascii="Arial" w:eastAsia="Times New Roman" w:hAnsi="Arial" w:cs="Arial"/>
              </w:rPr>
              <w:t>0</w:t>
            </w:r>
          </w:p>
        </w:tc>
      </w:tr>
      <w:tr w:rsidR="001B0C4A" w:rsidRPr="006975AB" w:rsidTr="00BE37B1">
        <w:trPr>
          <w:trHeight w:val="227"/>
        </w:trPr>
        <w:tc>
          <w:tcPr>
            <w:tcW w:w="2080" w:type="dxa"/>
            <w:tcBorders>
              <w:top w:val="nil"/>
              <w:bottom w:val="nil"/>
            </w:tcBorders>
          </w:tcPr>
          <w:p w:rsidR="001B0C4A" w:rsidRPr="006975AB" w:rsidRDefault="001B0C4A" w:rsidP="009D0447">
            <w:pPr>
              <w:rPr>
                <w:rFonts w:ascii="Arial" w:eastAsia="Times New Roman" w:hAnsi="Arial" w:cs="Arial"/>
                <w:vertAlign w:val="superscript"/>
              </w:rPr>
            </w:pPr>
            <w:r w:rsidRPr="006975AB">
              <w:rPr>
                <w:rFonts w:ascii="Arial" w:eastAsia="Times New Roman" w:hAnsi="Arial" w:cs="Arial"/>
              </w:rPr>
              <w:t>Household residents</w:t>
            </w:r>
          </w:p>
        </w:tc>
        <w:tc>
          <w:tcPr>
            <w:tcW w:w="3981" w:type="dxa"/>
            <w:gridSpan w:val="2"/>
            <w:tcBorders>
              <w:top w:val="nil"/>
              <w:bottom w:val="nil"/>
            </w:tcBorders>
          </w:tcPr>
          <w:p w:rsidR="001B0C4A" w:rsidRPr="006975AB" w:rsidRDefault="001B0C4A" w:rsidP="009D0447">
            <w:pPr>
              <w:rPr>
                <w:rFonts w:ascii="Arial" w:hAnsi="Arial" w:cs="Arial"/>
              </w:rPr>
            </w:pPr>
            <w:r w:rsidRPr="006975AB">
              <w:rPr>
                <w:rFonts w:ascii="Arial" w:eastAsia="Times New Roman" w:hAnsi="Arial" w:cs="Arial"/>
              </w:rPr>
              <w:t>Number of residents in household</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2.57 (1.23)</w:t>
            </w:r>
          </w:p>
        </w:tc>
        <w:tc>
          <w:tcPr>
            <w:tcW w:w="855" w:type="dxa"/>
            <w:gridSpan w:val="2"/>
            <w:tcBorders>
              <w:top w:val="nil"/>
              <w:bottom w:val="nil"/>
            </w:tcBorders>
            <w:vAlign w:val="center"/>
          </w:tcPr>
          <w:p w:rsidR="001B0C4A" w:rsidRPr="006975AB" w:rsidRDefault="001B0C4A" w:rsidP="009D0447">
            <w:pPr>
              <w:jc w:val="center"/>
              <w:rPr>
                <w:rFonts w:ascii="Arial" w:eastAsia="Times New Roman" w:hAnsi="Arial" w:cs="Arial"/>
              </w:rPr>
            </w:pPr>
            <w:r w:rsidRPr="006975AB">
              <w:rPr>
                <w:rFonts w:ascii="Arial" w:eastAsia="Times New Roman" w:hAnsi="Arial" w:cs="Arial"/>
              </w:rPr>
              <w:t>1</w:t>
            </w:r>
          </w:p>
        </w:tc>
        <w:tc>
          <w:tcPr>
            <w:tcW w:w="979" w:type="dxa"/>
            <w:gridSpan w:val="2"/>
            <w:tcBorders>
              <w:top w:val="nil"/>
              <w:bottom w:val="nil"/>
            </w:tcBorders>
            <w:vAlign w:val="center"/>
          </w:tcPr>
          <w:p w:rsidR="001B0C4A" w:rsidRPr="006975AB" w:rsidRDefault="001B0C4A" w:rsidP="009D0447">
            <w:pPr>
              <w:jc w:val="center"/>
              <w:rPr>
                <w:rFonts w:ascii="Arial" w:eastAsia="Times New Roman" w:hAnsi="Arial" w:cs="Arial"/>
              </w:rPr>
            </w:pPr>
            <w:r w:rsidRPr="006975AB">
              <w:rPr>
                <w:rFonts w:ascii="Arial" w:eastAsia="Times New Roman" w:hAnsi="Arial" w:cs="Arial"/>
              </w:rPr>
              <w:t>8</w:t>
            </w:r>
          </w:p>
        </w:tc>
      </w:tr>
      <w:tr w:rsidR="001B0C4A" w:rsidRPr="006975AB" w:rsidTr="00BE37B1">
        <w:trPr>
          <w:trHeight w:val="227"/>
        </w:trPr>
        <w:tc>
          <w:tcPr>
            <w:tcW w:w="2080" w:type="dxa"/>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Employed energy industry</w:t>
            </w: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1=Employed, formerly employed, or have family employed in energy industry; 0=Otherwise</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0.06 (0.24)</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Unemployed</w:t>
            </w: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1=Unemployed; 0=Otherwise (i.e. employed or not in labour force)</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0.05 (0.23)</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vAlign w:val="center"/>
          </w:tcPr>
          <w:p w:rsidR="001B0C4A" w:rsidRPr="006975AB" w:rsidRDefault="001B0C4A" w:rsidP="009D0447">
            <w:pPr>
              <w:rPr>
                <w:rFonts w:ascii="Arial" w:eastAsia="Times New Roman" w:hAnsi="Arial" w:cs="Arial"/>
                <w:vertAlign w:val="superscript"/>
              </w:rPr>
            </w:pPr>
            <w:r w:rsidRPr="006975AB">
              <w:rPr>
                <w:rFonts w:ascii="Arial" w:eastAsia="Times New Roman" w:hAnsi="Arial" w:cs="Arial"/>
              </w:rPr>
              <w:t xml:space="preserve">Low socio-economic </w:t>
            </w:r>
            <w:r>
              <w:rPr>
                <w:rFonts w:ascii="Arial" w:eastAsia="Times New Roman" w:hAnsi="Arial" w:cs="Arial"/>
              </w:rPr>
              <w:t>region</w:t>
            </w:r>
          </w:p>
        </w:tc>
        <w:tc>
          <w:tcPr>
            <w:tcW w:w="3981" w:type="dxa"/>
            <w:gridSpan w:val="2"/>
            <w:tcBorders>
              <w:top w:val="nil"/>
              <w:bottom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 xml:space="preserve">1 = ≤20th percentile on Socio-Economic Advantage and Disadvantage </w:t>
            </w:r>
            <w:proofErr w:type="spellStart"/>
            <w:r w:rsidRPr="006975AB">
              <w:rPr>
                <w:rFonts w:ascii="Arial" w:eastAsia="Times New Roman" w:hAnsi="Arial" w:cs="Arial"/>
              </w:rPr>
              <w:t>Index</w:t>
            </w:r>
            <w:r w:rsidRPr="006975AB">
              <w:rPr>
                <w:rFonts w:ascii="Arial" w:eastAsia="Times New Roman" w:hAnsi="Arial" w:cs="Arial"/>
                <w:vertAlign w:val="superscript"/>
              </w:rPr>
              <w:t>b</w:t>
            </w:r>
            <w:proofErr w:type="spellEnd"/>
            <w:r w:rsidRPr="006975AB">
              <w:rPr>
                <w:rFonts w:ascii="Arial" w:eastAsia="Times New Roman" w:hAnsi="Arial" w:cs="Arial"/>
              </w:rPr>
              <w:t>; 0=Otherwise</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0.21 (0.40)</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Confidence in government decisions</w:t>
            </w:r>
          </w:p>
        </w:tc>
        <w:tc>
          <w:tcPr>
            <w:tcW w:w="3981" w:type="dxa"/>
            <w:gridSpan w:val="2"/>
            <w:tcBorders>
              <w:top w:val="nil"/>
              <w:bottom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 xml:space="preserve">1=Agree or strongly agree Australian governments make policy and regulatory decisions based on scientific and economic evidence; 0=Otherwise </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0.38 (0.49)</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Climate change is happening</w:t>
            </w:r>
          </w:p>
        </w:tc>
        <w:tc>
          <w:tcPr>
            <w:tcW w:w="3981" w:type="dxa"/>
            <w:gridSpan w:val="2"/>
            <w:tcBorders>
              <w:top w:val="nil"/>
              <w:bottom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 xml:space="preserve">1=Agree or strongly agree that climate change is happening; 0=Otherwise </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0.83 (0.37)</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bottom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Climate change is largely human induced</w:t>
            </w:r>
          </w:p>
        </w:tc>
        <w:tc>
          <w:tcPr>
            <w:tcW w:w="3981" w:type="dxa"/>
            <w:gridSpan w:val="2"/>
            <w:tcBorders>
              <w:top w:val="nil"/>
              <w:bottom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1=Agree or strongly agree climate change is largely human-induced; 0=Otherwise</w:t>
            </w:r>
          </w:p>
        </w:tc>
        <w:tc>
          <w:tcPr>
            <w:tcW w:w="1457" w:type="dxa"/>
            <w:tcBorders>
              <w:top w:val="nil"/>
              <w:bottom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0.74 (0.44)</w:t>
            </w:r>
          </w:p>
        </w:tc>
        <w:tc>
          <w:tcPr>
            <w:tcW w:w="855"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bottom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tcBorders>
              <w:top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Climate change will have negative impact</w:t>
            </w:r>
          </w:p>
        </w:tc>
        <w:tc>
          <w:tcPr>
            <w:tcW w:w="3981" w:type="dxa"/>
            <w:gridSpan w:val="2"/>
            <w:tcBorders>
              <w:top w:val="nil"/>
            </w:tcBorders>
            <w:vAlign w:val="center"/>
          </w:tcPr>
          <w:p w:rsidR="001B0C4A" w:rsidRPr="006975AB" w:rsidRDefault="001B0C4A" w:rsidP="009D0447">
            <w:pPr>
              <w:rPr>
                <w:rFonts w:ascii="Arial" w:eastAsia="Times New Roman" w:hAnsi="Arial" w:cs="Arial"/>
              </w:rPr>
            </w:pPr>
            <w:r w:rsidRPr="006975AB">
              <w:rPr>
                <w:rFonts w:ascii="Arial" w:eastAsia="Times New Roman" w:hAnsi="Arial" w:cs="Arial"/>
              </w:rPr>
              <w:t>1=Agree or strongly agree that climate change will have a negative impact on household; 0=Otherwise</w:t>
            </w:r>
          </w:p>
        </w:tc>
        <w:tc>
          <w:tcPr>
            <w:tcW w:w="1457" w:type="dxa"/>
            <w:tcBorders>
              <w:top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0.54 (0.50)</w:t>
            </w:r>
          </w:p>
        </w:tc>
        <w:tc>
          <w:tcPr>
            <w:tcW w:w="855" w:type="dxa"/>
            <w:gridSpan w:val="2"/>
            <w:tcBorders>
              <w:top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tcBorders>
              <w:top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w:t>
            </w:r>
          </w:p>
        </w:tc>
      </w:tr>
      <w:tr w:rsidR="001B0C4A" w:rsidRPr="006975AB" w:rsidTr="00BE37B1">
        <w:trPr>
          <w:trHeight w:val="227"/>
        </w:trPr>
        <w:tc>
          <w:tcPr>
            <w:tcW w:w="2080" w:type="dxa"/>
            <w:vAlign w:val="center"/>
          </w:tcPr>
          <w:p w:rsidR="001B0C4A" w:rsidRPr="006975AB" w:rsidRDefault="001B0C4A" w:rsidP="009D0447">
            <w:pPr>
              <w:rPr>
                <w:rFonts w:ascii="Arial" w:eastAsia="Times New Roman" w:hAnsi="Arial" w:cs="Arial"/>
                <w:highlight w:val="yellow"/>
              </w:rPr>
            </w:pPr>
            <w:r w:rsidRPr="006975AB">
              <w:rPr>
                <w:rFonts w:ascii="Arial" w:eastAsia="Times New Roman" w:hAnsi="Arial" w:cs="Arial"/>
                <w:b/>
              </w:rPr>
              <w:t>Index variables</w:t>
            </w:r>
          </w:p>
        </w:tc>
        <w:tc>
          <w:tcPr>
            <w:tcW w:w="3769" w:type="dxa"/>
            <w:tcBorders>
              <w:bottom w:val="single" w:sz="4" w:space="0" w:color="auto"/>
            </w:tcBorders>
            <w:vAlign w:val="center"/>
          </w:tcPr>
          <w:p w:rsidR="001B0C4A" w:rsidRPr="006975AB" w:rsidRDefault="001B0C4A" w:rsidP="009D0447">
            <w:pPr>
              <w:rPr>
                <w:rFonts w:ascii="Arial" w:eastAsia="Times New Roman" w:hAnsi="Arial" w:cs="Arial"/>
                <w:highlight w:val="yellow"/>
              </w:rPr>
            </w:pPr>
            <w:r w:rsidRPr="006975AB">
              <w:rPr>
                <w:rFonts w:ascii="Arial" w:eastAsia="Times New Roman" w:hAnsi="Arial" w:cs="Arial"/>
                <w:b/>
              </w:rPr>
              <w:t>Construction variables</w:t>
            </w:r>
          </w:p>
        </w:tc>
        <w:tc>
          <w:tcPr>
            <w:tcW w:w="1811" w:type="dxa"/>
            <w:gridSpan w:val="3"/>
            <w:tcBorders>
              <w:bottom w:val="single" w:sz="4" w:space="0" w:color="auto"/>
            </w:tcBorders>
            <w:vAlign w:val="center"/>
          </w:tcPr>
          <w:p w:rsidR="001B0C4A" w:rsidRPr="006975AB" w:rsidRDefault="001B0C4A" w:rsidP="009D0447">
            <w:pPr>
              <w:tabs>
                <w:tab w:val="right" w:pos="3270"/>
              </w:tabs>
              <w:jc w:val="center"/>
              <w:rPr>
                <w:rFonts w:ascii="Arial" w:eastAsia="Times New Roman" w:hAnsi="Arial" w:cs="Arial"/>
                <w:b/>
              </w:rPr>
            </w:pPr>
          </w:p>
        </w:tc>
        <w:tc>
          <w:tcPr>
            <w:tcW w:w="713" w:type="dxa"/>
            <w:tcBorders>
              <w:bottom w:val="single" w:sz="4" w:space="0" w:color="auto"/>
            </w:tcBorders>
            <w:vAlign w:val="center"/>
          </w:tcPr>
          <w:p w:rsidR="001B0C4A" w:rsidRPr="006975AB" w:rsidRDefault="001B0C4A" w:rsidP="009D0447">
            <w:pPr>
              <w:ind w:right="113"/>
              <w:jc w:val="center"/>
              <w:rPr>
                <w:rFonts w:ascii="Arial" w:eastAsia="Times New Roman" w:hAnsi="Arial" w:cs="Arial"/>
                <w:highlight w:val="yellow"/>
              </w:rPr>
            </w:pPr>
          </w:p>
        </w:tc>
        <w:tc>
          <w:tcPr>
            <w:tcW w:w="979" w:type="dxa"/>
            <w:gridSpan w:val="2"/>
            <w:tcBorders>
              <w:bottom w:val="single" w:sz="4" w:space="0" w:color="auto"/>
            </w:tcBorders>
            <w:vAlign w:val="center"/>
          </w:tcPr>
          <w:p w:rsidR="001B0C4A" w:rsidRPr="006975AB" w:rsidRDefault="001B0C4A" w:rsidP="009D0447">
            <w:pPr>
              <w:ind w:right="113"/>
              <w:jc w:val="center"/>
              <w:rPr>
                <w:rFonts w:ascii="Arial" w:eastAsia="Times New Roman" w:hAnsi="Arial" w:cs="Arial"/>
                <w:highlight w:val="yellow"/>
              </w:rPr>
            </w:pPr>
          </w:p>
        </w:tc>
      </w:tr>
      <w:tr w:rsidR="001B0C4A" w:rsidRPr="006975AB" w:rsidTr="00BE37B1">
        <w:trPr>
          <w:gridAfter w:val="1"/>
          <w:wAfter w:w="7" w:type="dxa"/>
          <w:trHeight w:val="227"/>
        </w:trPr>
        <w:tc>
          <w:tcPr>
            <w:tcW w:w="2080" w:type="dxa"/>
            <w:vMerge w:val="restart"/>
            <w:shd w:val="clear" w:color="auto" w:fill="auto"/>
            <w:vAlign w:val="center"/>
          </w:tcPr>
          <w:p w:rsidR="001B0C4A" w:rsidRPr="006975AB" w:rsidRDefault="001B0C4A" w:rsidP="009D0447">
            <w:pPr>
              <w:rPr>
                <w:rFonts w:ascii="Arial" w:eastAsia="Times New Roman" w:hAnsi="Arial" w:cs="Arial"/>
                <w:highlight w:val="yellow"/>
              </w:rPr>
            </w:pPr>
            <w:r w:rsidRPr="006975AB">
              <w:rPr>
                <w:rFonts w:ascii="Arial" w:eastAsia="Times New Roman" w:hAnsi="Arial" w:cs="Arial"/>
              </w:rPr>
              <w:t>Pro-environmental trade-offs (average index)</w:t>
            </w:r>
          </w:p>
        </w:tc>
        <w:tc>
          <w:tcPr>
            <w:tcW w:w="7265" w:type="dxa"/>
            <w:gridSpan w:val="6"/>
            <w:tcBorders>
              <w:bottom w:val="nil"/>
            </w:tcBorders>
          </w:tcPr>
          <w:p w:rsidR="001B0C4A" w:rsidRPr="006975AB" w:rsidRDefault="001B0C4A" w:rsidP="009D0447">
            <w:pPr>
              <w:rPr>
                <w:rFonts w:ascii="Arial" w:hAnsi="Arial" w:cs="Arial"/>
              </w:rPr>
            </w:pPr>
            <w:r w:rsidRPr="006975AB">
              <w:rPr>
                <w:rFonts w:ascii="Arial" w:hAnsi="Arial" w:cs="Arial"/>
              </w:rPr>
              <w:t>To what extent do you agree:</w:t>
            </w:r>
          </w:p>
          <w:p w:rsidR="001B0C4A" w:rsidRPr="006975AB" w:rsidRDefault="001B0C4A" w:rsidP="009D0447">
            <w:pPr>
              <w:ind w:right="113"/>
              <w:rPr>
                <w:rFonts w:ascii="Arial" w:eastAsia="Times New Roman" w:hAnsi="Arial" w:cs="Arial"/>
              </w:rPr>
            </w:pPr>
            <w:r w:rsidRPr="006975AB">
              <w:rPr>
                <w:rFonts w:ascii="Arial" w:hAnsi="Arial" w:cs="Arial"/>
              </w:rPr>
              <w:t>(1=Strongly disagree; 2=Disagree; 3=Neither agree nor disagree or unsure; 4=Agree; 5=Strongly agree</w:t>
            </w:r>
            <w:r>
              <w:rPr>
                <w:rFonts w:ascii="Arial" w:hAnsi="Arial" w:cs="Arial"/>
              </w:rPr>
              <w:t>)</w:t>
            </w:r>
          </w:p>
        </w:tc>
      </w:tr>
      <w:tr w:rsidR="001B0C4A" w:rsidRPr="006975AB" w:rsidTr="00BE37B1">
        <w:trPr>
          <w:trHeight w:val="227"/>
        </w:trPr>
        <w:tc>
          <w:tcPr>
            <w:tcW w:w="2080" w:type="dxa"/>
            <w:vMerge/>
            <w:shd w:val="clear" w:color="auto" w:fill="auto"/>
            <w:vAlign w:val="center"/>
          </w:tcPr>
          <w:p w:rsidR="001B0C4A" w:rsidRPr="006975AB" w:rsidRDefault="001B0C4A" w:rsidP="009D0447">
            <w:pPr>
              <w:rPr>
                <w:rFonts w:ascii="Arial" w:eastAsia="Times New Roman" w:hAnsi="Arial" w:cs="Arial"/>
                <w:highlight w:val="yellow"/>
              </w:rPr>
            </w:pPr>
          </w:p>
        </w:tc>
        <w:tc>
          <w:tcPr>
            <w:tcW w:w="3981" w:type="dxa"/>
            <w:gridSpan w:val="2"/>
            <w:tcBorders>
              <w:top w:val="nil"/>
              <w:bottom w:val="nil"/>
            </w:tcBorders>
          </w:tcPr>
          <w:p w:rsidR="001B0C4A" w:rsidRPr="006975AB" w:rsidRDefault="001B0C4A" w:rsidP="009D0447">
            <w:pPr>
              <w:rPr>
                <w:rFonts w:ascii="Arial" w:eastAsia="Times New Roman" w:hAnsi="Arial" w:cs="Arial"/>
                <w:highlight w:val="yellow"/>
              </w:rPr>
            </w:pPr>
            <w:r w:rsidRPr="006975AB">
              <w:rPr>
                <w:rFonts w:ascii="Arial" w:hAnsi="Arial" w:cs="Arial"/>
              </w:rPr>
              <w:t>A healthy, well protected environment and a prosperous economy go hand in hand</w:t>
            </w:r>
          </w:p>
        </w:tc>
        <w:tc>
          <w:tcPr>
            <w:tcW w:w="1457" w:type="dxa"/>
            <w:vMerge w:val="restart"/>
            <w:tcBorders>
              <w:top w:val="nil"/>
              <w:bottom w:val="nil"/>
            </w:tcBorders>
            <w:vAlign w:val="center"/>
          </w:tcPr>
          <w:p w:rsidR="001B0C4A" w:rsidRPr="006975AB" w:rsidRDefault="001B0C4A" w:rsidP="009D0447">
            <w:pPr>
              <w:ind w:right="113"/>
              <w:jc w:val="right"/>
              <w:rPr>
                <w:rFonts w:ascii="Arial" w:eastAsia="Times New Roman" w:hAnsi="Arial" w:cs="Arial"/>
                <w:highlight w:val="yellow"/>
              </w:rPr>
            </w:pPr>
            <w:r w:rsidRPr="006975AB">
              <w:rPr>
                <w:rFonts w:ascii="Arial" w:eastAsia="Times New Roman" w:hAnsi="Arial" w:cs="Arial"/>
              </w:rPr>
              <w:t>3.65 (0.63)</w:t>
            </w:r>
          </w:p>
        </w:tc>
        <w:tc>
          <w:tcPr>
            <w:tcW w:w="855" w:type="dxa"/>
            <w:gridSpan w:val="2"/>
            <w:vMerge w:val="restart"/>
            <w:tcBorders>
              <w:top w:val="nil"/>
              <w:bottom w:val="nil"/>
            </w:tcBorders>
            <w:vAlign w:val="center"/>
          </w:tcPr>
          <w:p w:rsidR="001B0C4A" w:rsidRPr="006975AB" w:rsidRDefault="001B0C4A" w:rsidP="009D0447">
            <w:pPr>
              <w:ind w:right="113"/>
              <w:jc w:val="center"/>
              <w:rPr>
                <w:rFonts w:ascii="Arial" w:eastAsia="Times New Roman" w:hAnsi="Arial" w:cs="Arial"/>
                <w:highlight w:val="yellow"/>
              </w:rPr>
            </w:pPr>
            <w:r w:rsidRPr="006975AB">
              <w:rPr>
                <w:rFonts w:ascii="Arial" w:eastAsia="Times New Roman" w:hAnsi="Arial" w:cs="Arial"/>
              </w:rPr>
              <w:t>1.33</w:t>
            </w:r>
          </w:p>
        </w:tc>
        <w:tc>
          <w:tcPr>
            <w:tcW w:w="979" w:type="dxa"/>
            <w:gridSpan w:val="2"/>
            <w:vMerge w:val="restart"/>
            <w:tcBorders>
              <w:top w:val="nil"/>
              <w:bottom w:val="nil"/>
            </w:tcBorders>
            <w:vAlign w:val="center"/>
          </w:tcPr>
          <w:p w:rsidR="001B0C4A" w:rsidRPr="006975AB" w:rsidRDefault="001B0C4A" w:rsidP="009D0447">
            <w:pPr>
              <w:ind w:right="113"/>
              <w:jc w:val="center"/>
              <w:rPr>
                <w:rFonts w:ascii="Arial" w:eastAsia="Times New Roman" w:hAnsi="Arial" w:cs="Arial"/>
                <w:highlight w:val="yellow"/>
              </w:rPr>
            </w:pPr>
            <w:r w:rsidRPr="006975AB">
              <w:rPr>
                <w:rFonts w:ascii="Arial" w:eastAsia="Times New Roman" w:hAnsi="Arial" w:cs="Arial"/>
              </w:rPr>
              <w:t>5</w:t>
            </w:r>
          </w:p>
        </w:tc>
      </w:tr>
      <w:tr w:rsidR="001B0C4A" w:rsidRPr="006975AB" w:rsidTr="00BE37B1">
        <w:trPr>
          <w:trHeight w:val="227"/>
        </w:trPr>
        <w:tc>
          <w:tcPr>
            <w:tcW w:w="2080" w:type="dxa"/>
            <w:vMerge/>
            <w:shd w:val="clear" w:color="auto" w:fill="auto"/>
            <w:vAlign w:val="center"/>
          </w:tcPr>
          <w:p w:rsidR="001B0C4A" w:rsidRPr="006975AB" w:rsidRDefault="001B0C4A" w:rsidP="009D0447">
            <w:pPr>
              <w:rPr>
                <w:rFonts w:ascii="Arial" w:eastAsia="Times New Roman" w:hAnsi="Arial" w:cs="Arial"/>
                <w:highlight w:val="yellow"/>
              </w:rPr>
            </w:pPr>
          </w:p>
        </w:tc>
        <w:tc>
          <w:tcPr>
            <w:tcW w:w="3981" w:type="dxa"/>
            <w:gridSpan w:val="2"/>
            <w:tcBorders>
              <w:top w:val="nil"/>
              <w:bottom w:val="nil"/>
            </w:tcBorders>
          </w:tcPr>
          <w:p w:rsidR="001B0C4A" w:rsidRPr="006975AB" w:rsidRDefault="001B0C4A" w:rsidP="009D0447">
            <w:pPr>
              <w:rPr>
                <w:rFonts w:ascii="Arial" w:eastAsia="Times New Roman" w:hAnsi="Arial" w:cs="Arial"/>
                <w:highlight w:val="yellow"/>
              </w:rPr>
            </w:pPr>
            <w:r w:rsidRPr="006975AB">
              <w:rPr>
                <w:rFonts w:ascii="Arial" w:hAnsi="Arial" w:cs="Arial"/>
              </w:rPr>
              <w:t>The environment needs to be protected even if it impacts economic prosperity</w:t>
            </w:r>
          </w:p>
        </w:tc>
        <w:tc>
          <w:tcPr>
            <w:tcW w:w="1457" w:type="dxa"/>
            <w:vMerge/>
            <w:tcBorders>
              <w:top w:val="nil"/>
              <w:bottom w:val="nil"/>
            </w:tcBorders>
            <w:vAlign w:val="center"/>
          </w:tcPr>
          <w:p w:rsidR="001B0C4A" w:rsidRPr="006975AB" w:rsidRDefault="001B0C4A" w:rsidP="009D0447">
            <w:pPr>
              <w:ind w:right="113"/>
              <w:jc w:val="right"/>
              <w:rPr>
                <w:rFonts w:ascii="Arial" w:eastAsia="Times New Roman" w:hAnsi="Arial" w:cs="Arial"/>
                <w:highlight w:val="yellow"/>
              </w:rPr>
            </w:pPr>
          </w:p>
        </w:tc>
        <w:tc>
          <w:tcPr>
            <w:tcW w:w="855" w:type="dxa"/>
            <w:gridSpan w:val="2"/>
            <w:vMerge/>
            <w:tcBorders>
              <w:top w:val="nil"/>
              <w:bottom w:val="nil"/>
            </w:tcBorders>
            <w:vAlign w:val="center"/>
          </w:tcPr>
          <w:p w:rsidR="001B0C4A" w:rsidRPr="006975AB" w:rsidRDefault="001B0C4A" w:rsidP="009D0447">
            <w:pPr>
              <w:ind w:right="113"/>
              <w:jc w:val="center"/>
              <w:rPr>
                <w:rFonts w:ascii="Arial" w:eastAsia="Times New Roman" w:hAnsi="Arial" w:cs="Arial"/>
                <w:highlight w:val="yellow"/>
              </w:rPr>
            </w:pPr>
          </w:p>
        </w:tc>
        <w:tc>
          <w:tcPr>
            <w:tcW w:w="979" w:type="dxa"/>
            <w:gridSpan w:val="2"/>
            <w:vMerge/>
            <w:tcBorders>
              <w:top w:val="nil"/>
              <w:bottom w:val="nil"/>
            </w:tcBorders>
            <w:vAlign w:val="center"/>
          </w:tcPr>
          <w:p w:rsidR="001B0C4A" w:rsidRPr="006975AB" w:rsidRDefault="001B0C4A" w:rsidP="009D0447">
            <w:pPr>
              <w:ind w:right="113"/>
              <w:jc w:val="center"/>
              <w:rPr>
                <w:rFonts w:ascii="Arial" w:eastAsia="Times New Roman" w:hAnsi="Arial" w:cs="Arial"/>
                <w:highlight w:val="yellow"/>
              </w:rPr>
            </w:pPr>
          </w:p>
        </w:tc>
      </w:tr>
      <w:tr w:rsidR="001B0C4A" w:rsidRPr="006975AB" w:rsidTr="00BE37B1">
        <w:trPr>
          <w:trHeight w:val="227"/>
        </w:trPr>
        <w:tc>
          <w:tcPr>
            <w:tcW w:w="2080" w:type="dxa"/>
            <w:vMerge/>
            <w:vAlign w:val="center"/>
          </w:tcPr>
          <w:p w:rsidR="001B0C4A" w:rsidRPr="006975AB" w:rsidRDefault="001B0C4A" w:rsidP="009D0447">
            <w:pPr>
              <w:rPr>
                <w:rFonts w:ascii="Arial" w:eastAsia="Times New Roman" w:hAnsi="Arial" w:cs="Arial"/>
                <w:b/>
              </w:rPr>
            </w:pPr>
          </w:p>
        </w:tc>
        <w:tc>
          <w:tcPr>
            <w:tcW w:w="3981" w:type="dxa"/>
            <w:gridSpan w:val="2"/>
            <w:tcBorders>
              <w:top w:val="nil"/>
              <w:bottom w:val="single" w:sz="4" w:space="0" w:color="auto"/>
            </w:tcBorders>
          </w:tcPr>
          <w:p w:rsidR="001B0C4A" w:rsidRPr="006975AB" w:rsidRDefault="001B0C4A" w:rsidP="009D0447">
            <w:pPr>
              <w:rPr>
                <w:rFonts w:ascii="Arial" w:eastAsia="Times New Roman" w:hAnsi="Arial" w:cs="Arial"/>
                <w:b/>
              </w:rPr>
            </w:pPr>
            <w:r w:rsidRPr="006975AB">
              <w:rPr>
                <w:rFonts w:ascii="Arial" w:hAnsi="Arial" w:cs="Arial"/>
              </w:rPr>
              <w:t>In order to have economic prosperity, the environment is going to suffer a bit (reverse coded)</w:t>
            </w:r>
          </w:p>
        </w:tc>
        <w:tc>
          <w:tcPr>
            <w:tcW w:w="1457" w:type="dxa"/>
            <w:vMerge/>
            <w:tcBorders>
              <w:top w:val="nil"/>
              <w:bottom w:val="single" w:sz="4" w:space="0" w:color="auto"/>
            </w:tcBorders>
            <w:vAlign w:val="center"/>
          </w:tcPr>
          <w:p w:rsidR="001B0C4A" w:rsidRPr="006975AB" w:rsidRDefault="001B0C4A" w:rsidP="009D0447">
            <w:pPr>
              <w:tabs>
                <w:tab w:val="right" w:pos="3270"/>
              </w:tabs>
              <w:jc w:val="center"/>
              <w:rPr>
                <w:rFonts w:ascii="Arial" w:eastAsia="Times New Roman" w:hAnsi="Arial" w:cs="Arial"/>
                <w:b/>
              </w:rPr>
            </w:pPr>
          </w:p>
        </w:tc>
        <w:tc>
          <w:tcPr>
            <w:tcW w:w="855" w:type="dxa"/>
            <w:gridSpan w:val="2"/>
            <w:vMerge/>
            <w:tcBorders>
              <w:top w:val="nil"/>
              <w:bottom w:val="single" w:sz="4" w:space="0" w:color="auto"/>
            </w:tcBorders>
            <w:vAlign w:val="center"/>
          </w:tcPr>
          <w:p w:rsidR="001B0C4A" w:rsidRPr="006975AB" w:rsidRDefault="001B0C4A" w:rsidP="009D0447">
            <w:pPr>
              <w:tabs>
                <w:tab w:val="right" w:pos="3270"/>
              </w:tabs>
              <w:jc w:val="center"/>
              <w:rPr>
                <w:rFonts w:ascii="Arial" w:eastAsia="Times New Roman" w:hAnsi="Arial" w:cs="Arial"/>
                <w:b/>
              </w:rPr>
            </w:pPr>
          </w:p>
        </w:tc>
        <w:tc>
          <w:tcPr>
            <w:tcW w:w="979" w:type="dxa"/>
            <w:gridSpan w:val="2"/>
            <w:vMerge/>
            <w:tcBorders>
              <w:top w:val="nil"/>
              <w:bottom w:val="single" w:sz="4" w:space="0" w:color="auto"/>
            </w:tcBorders>
            <w:vAlign w:val="center"/>
          </w:tcPr>
          <w:p w:rsidR="001B0C4A" w:rsidRPr="006975AB" w:rsidRDefault="001B0C4A" w:rsidP="009D0447">
            <w:pPr>
              <w:tabs>
                <w:tab w:val="right" w:pos="3270"/>
              </w:tabs>
              <w:jc w:val="center"/>
              <w:rPr>
                <w:rFonts w:ascii="Arial" w:eastAsia="Times New Roman" w:hAnsi="Arial" w:cs="Arial"/>
                <w:b/>
              </w:rPr>
            </w:pPr>
          </w:p>
        </w:tc>
      </w:tr>
      <w:tr w:rsidR="001B0C4A" w:rsidRPr="006975AB" w:rsidTr="00BE37B1">
        <w:trPr>
          <w:trHeight w:val="227"/>
        </w:trPr>
        <w:tc>
          <w:tcPr>
            <w:tcW w:w="2080" w:type="dxa"/>
            <w:vMerge w:val="restart"/>
            <w:vAlign w:val="center"/>
          </w:tcPr>
          <w:p w:rsidR="001B0C4A" w:rsidRPr="006975AB" w:rsidRDefault="001B0C4A" w:rsidP="009D0447">
            <w:pPr>
              <w:rPr>
                <w:rFonts w:ascii="Arial" w:eastAsia="Times New Roman" w:hAnsi="Arial" w:cs="Arial"/>
                <w:b/>
              </w:rPr>
            </w:pPr>
            <w:r w:rsidRPr="006975AB">
              <w:rPr>
                <w:rFonts w:ascii="Arial" w:eastAsia="Times New Roman" w:hAnsi="Arial" w:cs="Arial"/>
              </w:rPr>
              <w:t>Knowledge of hydrogen industry (additive index)</w:t>
            </w:r>
          </w:p>
        </w:tc>
        <w:tc>
          <w:tcPr>
            <w:tcW w:w="7272" w:type="dxa"/>
            <w:gridSpan w:val="7"/>
            <w:tcBorders>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Please indicate your knowledge of hydrogen production and its uses:</w:t>
            </w:r>
          </w:p>
          <w:p w:rsidR="001B0C4A" w:rsidRPr="006975AB" w:rsidRDefault="001B0C4A" w:rsidP="009D0447">
            <w:pPr>
              <w:ind w:right="113"/>
              <w:rPr>
                <w:rFonts w:ascii="Arial" w:eastAsia="Times New Roman" w:hAnsi="Arial" w:cs="Arial"/>
              </w:rPr>
            </w:pPr>
            <w:r w:rsidRPr="006975AB">
              <w:rPr>
                <w:rFonts w:ascii="Arial" w:eastAsia="Times New Roman" w:hAnsi="Arial" w:cs="Arial"/>
              </w:rPr>
              <w:t>(0=Never heard of it; 1=Had heard of it; 2=Had heard of it and could explain to a friend)</w:t>
            </w:r>
          </w:p>
        </w:tc>
      </w:tr>
      <w:tr w:rsidR="001B0C4A" w:rsidRPr="006975AB" w:rsidTr="00BE37B1">
        <w:trPr>
          <w:trHeight w:val="195"/>
        </w:trPr>
        <w:tc>
          <w:tcPr>
            <w:tcW w:w="2080" w:type="dxa"/>
            <w:vMerge/>
            <w:vAlign w:val="center"/>
          </w:tcPr>
          <w:p w:rsidR="001B0C4A" w:rsidRPr="006975AB" w:rsidRDefault="001B0C4A" w:rsidP="009D0447">
            <w:pPr>
              <w:rPr>
                <w:rFonts w:ascii="Arial" w:eastAsia="Times New Roman" w:hAnsi="Arial" w:cs="Arial"/>
              </w:rPr>
            </w:pP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 xml:space="preserve">How hydrogen is produced </w:t>
            </w:r>
          </w:p>
        </w:tc>
        <w:tc>
          <w:tcPr>
            <w:tcW w:w="1457" w:type="dxa"/>
            <w:vMerge w:val="restart"/>
            <w:tcBorders>
              <w:top w:val="nil"/>
            </w:tcBorders>
            <w:vAlign w:val="center"/>
          </w:tcPr>
          <w:p w:rsidR="001B0C4A" w:rsidRPr="006975AB" w:rsidRDefault="001B0C4A" w:rsidP="009D0447">
            <w:pPr>
              <w:ind w:right="113"/>
              <w:jc w:val="right"/>
              <w:rPr>
                <w:rFonts w:ascii="Arial" w:eastAsia="Times New Roman" w:hAnsi="Arial" w:cs="Arial"/>
              </w:rPr>
            </w:pPr>
            <w:r w:rsidRPr="006975AB">
              <w:rPr>
                <w:rFonts w:ascii="Arial" w:eastAsia="Times New Roman" w:hAnsi="Arial" w:cs="Arial"/>
              </w:rPr>
              <w:t>3.22 (2.63)</w:t>
            </w:r>
          </w:p>
        </w:tc>
        <w:tc>
          <w:tcPr>
            <w:tcW w:w="855" w:type="dxa"/>
            <w:gridSpan w:val="2"/>
            <w:vMerge w:val="restart"/>
            <w:tcBorders>
              <w:top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0</w:t>
            </w:r>
          </w:p>
        </w:tc>
        <w:tc>
          <w:tcPr>
            <w:tcW w:w="979" w:type="dxa"/>
            <w:gridSpan w:val="2"/>
            <w:vMerge w:val="restart"/>
            <w:tcBorders>
              <w:top w:val="nil"/>
            </w:tcBorders>
            <w:vAlign w:val="center"/>
          </w:tcPr>
          <w:p w:rsidR="001B0C4A" w:rsidRPr="006975AB" w:rsidRDefault="001B0C4A" w:rsidP="009D0447">
            <w:pPr>
              <w:ind w:right="113"/>
              <w:jc w:val="center"/>
              <w:rPr>
                <w:rFonts w:ascii="Arial" w:eastAsia="Times New Roman" w:hAnsi="Arial" w:cs="Arial"/>
              </w:rPr>
            </w:pPr>
            <w:r w:rsidRPr="006975AB">
              <w:rPr>
                <w:rFonts w:ascii="Arial" w:eastAsia="Times New Roman" w:hAnsi="Arial" w:cs="Arial"/>
              </w:rPr>
              <w:t>10</w:t>
            </w:r>
          </w:p>
        </w:tc>
      </w:tr>
      <w:tr w:rsidR="001B0C4A" w:rsidRPr="006975AB" w:rsidTr="00BE37B1">
        <w:trPr>
          <w:trHeight w:val="70"/>
        </w:trPr>
        <w:tc>
          <w:tcPr>
            <w:tcW w:w="2080" w:type="dxa"/>
            <w:vMerge/>
            <w:vAlign w:val="center"/>
          </w:tcPr>
          <w:p w:rsidR="001B0C4A" w:rsidRPr="006975AB" w:rsidRDefault="001B0C4A" w:rsidP="009D0447">
            <w:pPr>
              <w:rPr>
                <w:rFonts w:ascii="Arial" w:eastAsia="Times New Roman" w:hAnsi="Arial" w:cs="Arial"/>
              </w:rPr>
            </w:pP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The use of hydrogen in fuel cell vehicles</w:t>
            </w:r>
          </w:p>
        </w:tc>
        <w:tc>
          <w:tcPr>
            <w:tcW w:w="1457" w:type="dxa"/>
            <w:vMerge/>
            <w:vAlign w:val="center"/>
          </w:tcPr>
          <w:p w:rsidR="001B0C4A" w:rsidRPr="006975AB" w:rsidRDefault="001B0C4A" w:rsidP="009D0447">
            <w:pPr>
              <w:ind w:right="113"/>
              <w:jc w:val="right"/>
              <w:rPr>
                <w:rFonts w:ascii="Arial" w:eastAsia="Times New Roman" w:hAnsi="Arial" w:cs="Arial"/>
              </w:rPr>
            </w:pPr>
          </w:p>
        </w:tc>
        <w:tc>
          <w:tcPr>
            <w:tcW w:w="855" w:type="dxa"/>
            <w:gridSpan w:val="2"/>
            <w:vMerge/>
            <w:vAlign w:val="center"/>
          </w:tcPr>
          <w:p w:rsidR="001B0C4A" w:rsidRPr="006975AB" w:rsidRDefault="001B0C4A" w:rsidP="009D0447">
            <w:pPr>
              <w:ind w:right="113"/>
              <w:jc w:val="right"/>
              <w:rPr>
                <w:rFonts w:ascii="Arial" w:eastAsia="Times New Roman" w:hAnsi="Arial" w:cs="Arial"/>
              </w:rPr>
            </w:pPr>
          </w:p>
        </w:tc>
        <w:tc>
          <w:tcPr>
            <w:tcW w:w="979" w:type="dxa"/>
            <w:gridSpan w:val="2"/>
            <w:vMerge/>
            <w:vAlign w:val="center"/>
          </w:tcPr>
          <w:p w:rsidR="001B0C4A" w:rsidRPr="006975AB" w:rsidRDefault="001B0C4A" w:rsidP="009D0447">
            <w:pPr>
              <w:ind w:right="113"/>
              <w:jc w:val="right"/>
              <w:rPr>
                <w:rFonts w:ascii="Arial" w:eastAsia="Times New Roman" w:hAnsi="Arial" w:cs="Arial"/>
              </w:rPr>
            </w:pPr>
          </w:p>
        </w:tc>
      </w:tr>
      <w:tr w:rsidR="001B0C4A" w:rsidRPr="006975AB" w:rsidTr="00BE37B1">
        <w:trPr>
          <w:trHeight w:val="195"/>
        </w:trPr>
        <w:tc>
          <w:tcPr>
            <w:tcW w:w="2080" w:type="dxa"/>
            <w:vMerge/>
            <w:vAlign w:val="center"/>
          </w:tcPr>
          <w:p w:rsidR="001B0C4A" w:rsidRPr="006975AB" w:rsidRDefault="001B0C4A" w:rsidP="009D0447">
            <w:pPr>
              <w:rPr>
                <w:rFonts w:ascii="Arial" w:eastAsia="Times New Roman" w:hAnsi="Arial" w:cs="Arial"/>
              </w:rPr>
            </w:pP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Burning hydrogen as a replacement for natural gas</w:t>
            </w:r>
          </w:p>
        </w:tc>
        <w:tc>
          <w:tcPr>
            <w:tcW w:w="1457" w:type="dxa"/>
            <w:vMerge/>
            <w:vAlign w:val="center"/>
          </w:tcPr>
          <w:p w:rsidR="001B0C4A" w:rsidRPr="006975AB" w:rsidRDefault="001B0C4A" w:rsidP="009D0447">
            <w:pPr>
              <w:ind w:right="113"/>
              <w:jc w:val="right"/>
              <w:rPr>
                <w:rFonts w:ascii="Arial" w:eastAsia="Times New Roman" w:hAnsi="Arial" w:cs="Arial"/>
              </w:rPr>
            </w:pPr>
          </w:p>
        </w:tc>
        <w:tc>
          <w:tcPr>
            <w:tcW w:w="855" w:type="dxa"/>
            <w:gridSpan w:val="2"/>
            <w:vMerge/>
            <w:vAlign w:val="center"/>
          </w:tcPr>
          <w:p w:rsidR="001B0C4A" w:rsidRPr="006975AB" w:rsidRDefault="001B0C4A" w:rsidP="009D0447">
            <w:pPr>
              <w:ind w:right="113"/>
              <w:jc w:val="right"/>
              <w:rPr>
                <w:rFonts w:ascii="Arial" w:eastAsia="Times New Roman" w:hAnsi="Arial" w:cs="Arial"/>
              </w:rPr>
            </w:pPr>
          </w:p>
        </w:tc>
        <w:tc>
          <w:tcPr>
            <w:tcW w:w="979" w:type="dxa"/>
            <w:gridSpan w:val="2"/>
            <w:vMerge/>
            <w:vAlign w:val="center"/>
          </w:tcPr>
          <w:p w:rsidR="001B0C4A" w:rsidRPr="006975AB" w:rsidRDefault="001B0C4A" w:rsidP="009D0447">
            <w:pPr>
              <w:ind w:right="113"/>
              <w:jc w:val="right"/>
              <w:rPr>
                <w:rFonts w:ascii="Arial" w:eastAsia="Times New Roman" w:hAnsi="Arial" w:cs="Arial"/>
              </w:rPr>
            </w:pPr>
          </w:p>
        </w:tc>
      </w:tr>
      <w:tr w:rsidR="001B0C4A" w:rsidRPr="006975AB" w:rsidTr="00BE37B1">
        <w:trPr>
          <w:trHeight w:val="195"/>
        </w:trPr>
        <w:tc>
          <w:tcPr>
            <w:tcW w:w="2080" w:type="dxa"/>
            <w:vMerge/>
            <w:vAlign w:val="center"/>
          </w:tcPr>
          <w:p w:rsidR="001B0C4A" w:rsidRPr="006975AB" w:rsidRDefault="001B0C4A" w:rsidP="009D0447">
            <w:pPr>
              <w:rPr>
                <w:rFonts w:ascii="Arial" w:eastAsia="Times New Roman" w:hAnsi="Arial" w:cs="Arial"/>
              </w:rPr>
            </w:pPr>
          </w:p>
        </w:tc>
        <w:tc>
          <w:tcPr>
            <w:tcW w:w="3981" w:type="dxa"/>
            <w:gridSpan w:val="2"/>
            <w:tcBorders>
              <w:top w:val="nil"/>
              <w:bottom w:val="nil"/>
            </w:tcBorders>
          </w:tcPr>
          <w:p w:rsidR="001B0C4A" w:rsidRPr="006975AB" w:rsidRDefault="001B0C4A" w:rsidP="009D0447">
            <w:pPr>
              <w:rPr>
                <w:rFonts w:ascii="Arial" w:eastAsia="Times New Roman" w:hAnsi="Arial" w:cs="Arial"/>
              </w:rPr>
            </w:pPr>
            <w:r w:rsidRPr="006975AB">
              <w:rPr>
                <w:rFonts w:ascii="Arial" w:eastAsia="Times New Roman" w:hAnsi="Arial" w:cs="Arial"/>
              </w:rPr>
              <w:t>Hydrogen as an energy storage medium for electricity</w:t>
            </w:r>
          </w:p>
        </w:tc>
        <w:tc>
          <w:tcPr>
            <w:tcW w:w="1457" w:type="dxa"/>
            <w:vMerge/>
            <w:vAlign w:val="center"/>
          </w:tcPr>
          <w:p w:rsidR="001B0C4A" w:rsidRPr="006975AB" w:rsidRDefault="001B0C4A" w:rsidP="009D0447">
            <w:pPr>
              <w:ind w:right="113"/>
              <w:jc w:val="right"/>
              <w:rPr>
                <w:rFonts w:ascii="Arial" w:eastAsia="Times New Roman" w:hAnsi="Arial" w:cs="Arial"/>
              </w:rPr>
            </w:pPr>
          </w:p>
        </w:tc>
        <w:tc>
          <w:tcPr>
            <w:tcW w:w="855" w:type="dxa"/>
            <w:gridSpan w:val="2"/>
            <w:vMerge/>
            <w:vAlign w:val="center"/>
          </w:tcPr>
          <w:p w:rsidR="001B0C4A" w:rsidRPr="006975AB" w:rsidRDefault="001B0C4A" w:rsidP="009D0447">
            <w:pPr>
              <w:ind w:right="113"/>
              <w:jc w:val="right"/>
              <w:rPr>
                <w:rFonts w:ascii="Arial" w:eastAsia="Times New Roman" w:hAnsi="Arial" w:cs="Arial"/>
              </w:rPr>
            </w:pPr>
          </w:p>
        </w:tc>
        <w:tc>
          <w:tcPr>
            <w:tcW w:w="979" w:type="dxa"/>
            <w:gridSpan w:val="2"/>
            <w:vMerge/>
            <w:vAlign w:val="center"/>
          </w:tcPr>
          <w:p w:rsidR="001B0C4A" w:rsidRPr="006975AB" w:rsidRDefault="001B0C4A" w:rsidP="009D0447">
            <w:pPr>
              <w:ind w:right="113"/>
              <w:jc w:val="right"/>
              <w:rPr>
                <w:rFonts w:ascii="Arial" w:eastAsia="Times New Roman" w:hAnsi="Arial" w:cs="Arial"/>
              </w:rPr>
            </w:pPr>
          </w:p>
        </w:tc>
      </w:tr>
      <w:tr w:rsidR="001B0C4A" w:rsidRPr="006975AB" w:rsidTr="00BE37B1">
        <w:trPr>
          <w:trHeight w:val="195"/>
        </w:trPr>
        <w:tc>
          <w:tcPr>
            <w:tcW w:w="2080" w:type="dxa"/>
            <w:vMerge/>
            <w:vAlign w:val="center"/>
          </w:tcPr>
          <w:p w:rsidR="001B0C4A" w:rsidRPr="006975AB" w:rsidRDefault="001B0C4A" w:rsidP="009D0447">
            <w:pPr>
              <w:rPr>
                <w:rFonts w:ascii="Arial" w:eastAsia="Times New Roman" w:hAnsi="Arial" w:cs="Arial"/>
              </w:rPr>
            </w:pPr>
          </w:p>
        </w:tc>
        <w:tc>
          <w:tcPr>
            <w:tcW w:w="3981" w:type="dxa"/>
            <w:gridSpan w:val="2"/>
            <w:tcBorders>
              <w:top w:val="nil"/>
            </w:tcBorders>
          </w:tcPr>
          <w:p w:rsidR="001B0C4A" w:rsidRPr="006975AB" w:rsidRDefault="001B0C4A" w:rsidP="009D0447">
            <w:pPr>
              <w:rPr>
                <w:rFonts w:ascii="Arial" w:hAnsi="Arial" w:cs="Arial"/>
              </w:rPr>
            </w:pPr>
            <w:r w:rsidRPr="006975AB">
              <w:rPr>
                <w:rFonts w:ascii="Arial" w:eastAsia="Times New Roman" w:hAnsi="Arial" w:cs="Arial"/>
              </w:rPr>
              <w:t>The use of hydrogen fuel cells in homes</w:t>
            </w:r>
          </w:p>
        </w:tc>
        <w:tc>
          <w:tcPr>
            <w:tcW w:w="1457" w:type="dxa"/>
            <w:vMerge/>
            <w:vAlign w:val="center"/>
          </w:tcPr>
          <w:p w:rsidR="001B0C4A" w:rsidRPr="006975AB" w:rsidRDefault="001B0C4A" w:rsidP="009D0447">
            <w:pPr>
              <w:ind w:right="113"/>
              <w:jc w:val="right"/>
              <w:rPr>
                <w:rFonts w:ascii="Arial" w:eastAsia="Times New Roman" w:hAnsi="Arial" w:cs="Arial"/>
              </w:rPr>
            </w:pPr>
          </w:p>
        </w:tc>
        <w:tc>
          <w:tcPr>
            <w:tcW w:w="855" w:type="dxa"/>
            <w:gridSpan w:val="2"/>
            <w:vMerge/>
            <w:vAlign w:val="center"/>
          </w:tcPr>
          <w:p w:rsidR="001B0C4A" w:rsidRPr="006975AB" w:rsidRDefault="001B0C4A" w:rsidP="009D0447">
            <w:pPr>
              <w:ind w:right="113"/>
              <w:jc w:val="right"/>
              <w:rPr>
                <w:rFonts w:ascii="Arial" w:eastAsia="Times New Roman" w:hAnsi="Arial" w:cs="Arial"/>
              </w:rPr>
            </w:pPr>
          </w:p>
        </w:tc>
        <w:tc>
          <w:tcPr>
            <w:tcW w:w="979" w:type="dxa"/>
            <w:gridSpan w:val="2"/>
            <w:vMerge/>
            <w:vAlign w:val="center"/>
          </w:tcPr>
          <w:p w:rsidR="001B0C4A" w:rsidRPr="006975AB" w:rsidRDefault="001B0C4A" w:rsidP="009D0447">
            <w:pPr>
              <w:ind w:right="113"/>
              <w:jc w:val="right"/>
              <w:rPr>
                <w:rFonts w:ascii="Arial" w:eastAsia="Times New Roman" w:hAnsi="Arial" w:cs="Arial"/>
              </w:rPr>
            </w:pPr>
          </w:p>
        </w:tc>
      </w:tr>
    </w:tbl>
    <w:p w:rsidR="001B0C4A" w:rsidRDefault="001B0C4A" w:rsidP="009D0447">
      <w:pPr>
        <w:spacing w:after="0" w:line="240" w:lineRule="auto"/>
        <w:jc w:val="both"/>
        <w:rPr>
          <w:rFonts w:eastAsia="Times New Roman"/>
          <w:sz w:val="20"/>
          <w:szCs w:val="20"/>
        </w:rPr>
      </w:pPr>
      <w:r w:rsidRPr="0023703F">
        <w:rPr>
          <w:sz w:val="20"/>
          <w:u w:val="single"/>
        </w:rPr>
        <w:t>Note</w:t>
      </w:r>
      <w:r>
        <w:rPr>
          <w:sz w:val="20"/>
        </w:rPr>
        <w:t xml:space="preserve">: </w:t>
      </w:r>
      <w:proofErr w:type="gramStart"/>
      <w:r>
        <w:rPr>
          <w:sz w:val="20"/>
          <w:vertAlign w:val="superscript"/>
        </w:rPr>
        <w:t>a</w:t>
      </w:r>
      <w:proofErr w:type="gramEnd"/>
      <w:r>
        <w:rPr>
          <w:sz w:val="20"/>
          <w:vertAlign w:val="superscript"/>
        </w:rPr>
        <w:t xml:space="preserve"> </w:t>
      </w:r>
      <w:r w:rsidRPr="00350FD3">
        <w:rPr>
          <w:sz w:val="20"/>
        </w:rPr>
        <w:t>Household income is a semi-continuous variable</w:t>
      </w:r>
      <w:r>
        <w:rPr>
          <w:sz w:val="20"/>
        </w:rPr>
        <w:t xml:space="preserve">; </w:t>
      </w:r>
      <w:r>
        <w:rPr>
          <w:sz w:val="20"/>
          <w:vertAlign w:val="superscript"/>
        </w:rPr>
        <w:t xml:space="preserve">b </w:t>
      </w:r>
      <w:r>
        <w:rPr>
          <w:sz w:val="20"/>
        </w:rPr>
        <w:t xml:space="preserve">As per the </w:t>
      </w:r>
      <w:r w:rsidRPr="00A416D8">
        <w:rPr>
          <w:rFonts w:eastAsia="Times New Roman"/>
          <w:sz w:val="20"/>
          <w:szCs w:val="20"/>
        </w:rPr>
        <w:t>Socio-Economic Advantage and Disadvantage Index</w:t>
      </w:r>
      <w:r>
        <w:rPr>
          <w:rFonts w:eastAsia="Times New Roman"/>
          <w:sz w:val="20"/>
          <w:szCs w:val="20"/>
        </w:rPr>
        <w:t xml:space="preserve">, 2016 for postcode nominated by respondent </w:t>
      </w:r>
      <w:r>
        <w:rPr>
          <w:rFonts w:eastAsia="Times New Roman"/>
          <w:noProof/>
          <w:sz w:val="20"/>
          <w:szCs w:val="20"/>
        </w:rPr>
        <w:t>(Australian Bureau of Statistics, 2018)</w:t>
      </w:r>
      <w:r>
        <w:rPr>
          <w:rFonts w:eastAsia="Times New Roman"/>
          <w:sz w:val="20"/>
          <w:szCs w:val="20"/>
        </w:rPr>
        <w:t>.</w:t>
      </w:r>
    </w:p>
    <w:p w:rsidR="001B0C4A" w:rsidRDefault="001B0C4A" w:rsidP="009D0447">
      <w:pPr>
        <w:pStyle w:val="ListParagraph"/>
        <w:numPr>
          <w:ilvl w:val="0"/>
          <w:numId w:val="1"/>
        </w:numPr>
        <w:spacing w:after="0" w:line="480" w:lineRule="auto"/>
        <w:ind w:left="426" w:hanging="426"/>
        <w:rPr>
          <w:b/>
        </w:rPr>
      </w:pPr>
      <w:r w:rsidRPr="00824758">
        <w:rPr>
          <w:b/>
        </w:rPr>
        <w:lastRenderedPageBreak/>
        <w:t>Results and discussion</w:t>
      </w:r>
    </w:p>
    <w:p w:rsidR="001B0C4A" w:rsidRDefault="001B0C4A" w:rsidP="009D0447">
      <w:pPr>
        <w:pStyle w:val="ListParagraph"/>
        <w:spacing w:after="0" w:line="480" w:lineRule="auto"/>
        <w:rPr>
          <w:b/>
        </w:rPr>
      </w:pPr>
    </w:p>
    <w:p w:rsidR="001B0C4A" w:rsidRDefault="001B0C4A" w:rsidP="009D0447">
      <w:pPr>
        <w:spacing w:after="0" w:line="480" w:lineRule="auto"/>
        <w:jc w:val="both"/>
      </w:pPr>
      <w:r>
        <w:t>S</w:t>
      </w:r>
      <w:r w:rsidRPr="00D35FDE">
        <w:t xml:space="preserve">afety was the most important characteristic </w:t>
      </w:r>
      <w:r>
        <w:t>upon which</w:t>
      </w:r>
      <w:r w:rsidRPr="00D35FDE">
        <w:t xml:space="preserve"> respondents’ willingness to support a hydrogen industry </w:t>
      </w:r>
      <w:r>
        <w:t>was</w:t>
      </w:r>
      <w:r w:rsidRPr="00D35FDE">
        <w:t xml:space="preserve"> contingent. This was followed by climate change mitigation and affordability, followed by reliability</w:t>
      </w:r>
      <w:r>
        <w:t xml:space="preserve">, </w:t>
      </w:r>
      <w:r w:rsidRPr="00D35FDE">
        <w:t>then accessibility and job creation</w:t>
      </w:r>
      <w:r>
        <w:t xml:space="preserve"> (Table 1)</w:t>
      </w:r>
      <w:r w:rsidRPr="00480C7F">
        <w:t xml:space="preserve">. </w:t>
      </w:r>
      <w:r>
        <w:t xml:space="preserve">This result indicates that respondents are not necessarily willing to trade-off safety to meet other objectives, or pay more for energy to achieve climate change mitigation. The average marginal effects results of the fractional multinomial model estimates, are presented in Table 3, and the following describes the evidence to support our four hypotheses. </w:t>
      </w:r>
    </w:p>
    <w:p w:rsidR="001B0C4A" w:rsidRDefault="001B0C4A" w:rsidP="009D0447">
      <w:pPr>
        <w:spacing w:after="0" w:line="480" w:lineRule="auto"/>
        <w:jc w:val="both"/>
      </w:pPr>
    </w:p>
    <w:p w:rsidR="001B0C4A" w:rsidRPr="0014604F" w:rsidRDefault="001B0C4A" w:rsidP="009D0447">
      <w:pPr>
        <w:spacing w:after="0" w:line="480" w:lineRule="auto"/>
        <w:ind w:left="426"/>
        <w:jc w:val="both"/>
        <w:rPr>
          <w:b/>
        </w:rPr>
      </w:pPr>
      <w:r w:rsidRPr="0014604F">
        <w:rPr>
          <w:b/>
        </w:rPr>
        <w:t>4.1 Socio-demographic and attitudinal characteristics</w:t>
      </w:r>
    </w:p>
    <w:p w:rsidR="001B0C4A" w:rsidRDefault="001B0C4A" w:rsidP="009D0447">
      <w:pPr>
        <w:spacing w:after="0" w:line="480" w:lineRule="auto"/>
        <w:jc w:val="both"/>
      </w:pPr>
    </w:p>
    <w:p w:rsidR="001B0C4A" w:rsidRDefault="001B0C4A" w:rsidP="009D0447">
      <w:pPr>
        <w:spacing w:after="0" w:line="480" w:lineRule="auto"/>
        <w:jc w:val="both"/>
      </w:pPr>
      <w:r>
        <w:t>While t</w:t>
      </w:r>
      <w:r w:rsidRPr="00AC730A">
        <w:t xml:space="preserve">here </w:t>
      </w:r>
      <w:r w:rsidRPr="005A5F20">
        <w:t>we</w:t>
      </w:r>
      <w:r>
        <w:t>re</w:t>
      </w:r>
      <w:r w:rsidRPr="005A5F20">
        <w:t xml:space="preserve"> statistically significant associations between </w:t>
      </w:r>
      <w:r>
        <w:t xml:space="preserve">importance weighting allocations and </w:t>
      </w:r>
      <w:r w:rsidRPr="005A5F20">
        <w:t xml:space="preserve">some socio-demographic and attitudinal characteristics of </w:t>
      </w:r>
      <w:r>
        <w:t>respondent</w:t>
      </w:r>
      <w:r w:rsidRPr="005A5F20">
        <w:t>s</w:t>
      </w:r>
      <w:r>
        <w:t>, t</w:t>
      </w:r>
      <w:r w:rsidRPr="005A5F20">
        <w:t>he</w:t>
      </w:r>
      <w:r w:rsidRPr="00AC730A">
        <w:t xml:space="preserve"> results reveal</w:t>
      </w:r>
      <w:r>
        <w:t>ed</w:t>
      </w:r>
      <w:r w:rsidRPr="00AC730A">
        <w:t xml:space="preserve"> no statistically significant relationship between state of residence, gender, household income or employment status and importance </w:t>
      </w:r>
      <w:r>
        <w:t xml:space="preserve">weighting </w:t>
      </w:r>
      <w:r w:rsidRPr="00AC730A">
        <w:t>allocation</w:t>
      </w:r>
      <w:r>
        <w:t>s across the six characteristics (Table 3)</w:t>
      </w:r>
      <w:r w:rsidRPr="00AC730A">
        <w:t>.</w:t>
      </w:r>
      <w:r w:rsidRPr="004D3264">
        <w:t xml:space="preserve"> </w:t>
      </w:r>
      <w:r>
        <w:t>With this, the results show mixed</w:t>
      </w:r>
      <w:r w:rsidRPr="00AC730A">
        <w:t xml:space="preserve"> statistically significant evidence to support</w:t>
      </w:r>
      <w:r>
        <w:t xml:space="preserve"> </w:t>
      </w:r>
      <w:r w:rsidRPr="00AC730A">
        <w:rPr>
          <w:i/>
        </w:rPr>
        <w:t xml:space="preserve">H1: </w:t>
      </w:r>
      <w:r w:rsidRPr="00F80463">
        <w:rPr>
          <w:i/>
        </w:rPr>
        <w:t>Socio-demographic and attitudinal characteristics that have been associated with overall hydrogen acceptance will also influence the characteristics of a hydrogen industry that individuals consider most important.</w:t>
      </w:r>
      <w:r>
        <w:rPr>
          <w:i/>
        </w:rPr>
        <w:t xml:space="preserve"> </w:t>
      </w:r>
      <w:r>
        <w:t>However, there were notable differences betwe</w:t>
      </w:r>
      <w:r w:rsidRPr="00CF6E38">
        <w:t xml:space="preserve">en urban and regional respondents, for example urban respondents allocated statistically significantly more importance weighting points to safety, affordability and reliability. The difference in allocations for safety is possibly a consequence of perceived proximity to hydrogen infrastructure (we return to this point in the next section). </w:t>
      </w:r>
      <w:r>
        <w:t xml:space="preserve">As well as urban residents, the groups that allocated statistically significantly more importance to affordability and reliability included older respondents, those employed in the energy industry and those with confidence in government decisions. This finding could indicate demand for research to consider the affordability and reliability trade-offs of a hydrogen transition. This could be especially </w:t>
      </w:r>
      <w:r>
        <w:lastRenderedPageBreak/>
        <w:t xml:space="preserve">important given </w:t>
      </w:r>
      <w:r w:rsidRPr="0031152B">
        <w:t xml:space="preserve">research has </w:t>
      </w:r>
      <w:r>
        <w:t xml:space="preserve">already </w:t>
      </w:r>
      <w:r w:rsidRPr="0031152B">
        <w:t xml:space="preserve">indicated that it is possible for a transition to renewable energy without sacrificing energy affordability or reliability </w:t>
      </w:r>
      <w:r w:rsidRPr="0031152B">
        <w:rPr>
          <w:noProof/>
        </w:rPr>
        <w:t>(Goddard and Farrelly, 2018)</w:t>
      </w:r>
      <w:r>
        <w:t xml:space="preserve">. </w:t>
      </w:r>
      <w:r w:rsidRPr="00945F45">
        <w:t xml:space="preserve">Other influences of socio-demographic and attitudinal characteristics on importance weighting allocations are highlighted in the subsequent sections.  </w:t>
      </w:r>
    </w:p>
    <w:p w:rsidR="001B0C4A" w:rsidRPr="00945F45" w:rsidRDefault="001B0C4A" w:rsidP="009D0447">
      <w:pPr>
        <w:spacing w:after="0" w:line="480" w:lineRule="auto"/>
        <w:jc w:val="both"/>
      </w:pPr>
    </w:p>
    <w:p w:rsidR="001B0C4A" w:rsidRPr="0014604F" w:rsidRDefault="001B0C4A" w:rsidP="009D0447">
      <w:pPr>
        <w:spacing w:after="0" w:line="480" w:lineRule="auto"/>
        <w:ind w:left="426"/>
        <w:jc w:val="both"/>
        <w:rPr>
          <w:b/>
        </w:rPr>
      </w:pPr>
      <w:r w:rsidRPr="0014604F">
        <w:rPr>
          <w:b/>
        </w:rPr>
        <w:t>4.2 Knowledge characteristics and safety weighting</w:t>
      </w:r>
    </w:p>
    <w:p w:rsidR="001B0C4A" w:rsidRDefault="001B0C4A" w:rsidP="009D0447">
      <w:pPr>
        <w:spacing w:after="0" w:line="480" w:lineRule="auto"/>
        <w:jc w:val="both"/>
      </w:pPr>
    </w:p>
    <w:p w:rsidR="001B0C4A" w:rsidRDefault="001B0C4A" w:rsidP="009D0447">
      <w:pPr>
        <w:spacing w:after="0" w:line="480" w:lineRule="auto"/>
        <w:jc w:val="both"/>
      </w:pPr>
      <w:r w:rsidRPr="00CB7FEA">
        <w:t xml:space="preserve">Respondents with greater self-rated knowledge of hydrogen (e.g. how hydrogen is produced, and how hydrogen can be used) allocated statistically significantly (p≤0.01) fewer importance weighting points to </w:t>
      </w:r>
      <w:r>
        <w:t>hydrogen’s</w:t>
      </w:r>
      <w:r w:rsidRPr="00CB7FEA">
        <w:t xml:space="preserve"> relative safet</w:t>
      </w:r>
      <w:r>
        <w:t>y</w:t>
      </w:r>
      <w:r w:rsidRPr="00CB7FEA">
        <w:t>.</w:t>
      </w:r>
      <w:r w:rsidRPr="009549E6">
        <w:t xml:space="preserve"> </w:t>
      </w:r>
      <w:r>
        <w:t>This result supports</w:t>
      </w:r>
      <w:r w:rsidRPr="00DA561F">
        <w:rPr>
          <w:i/>
        </w:rPr>
        <w:t xml:space="preserve"> </w:t>
      </w:r>
      <w:r w:rsidRPr="00145B37">
        <w:rPr>
          <w:i/>
        </w:rPr>
        <w:t xml:space="preserve">H2: Individuals with greater self-rated knowledge of hydrogen, how it is produced and how it can be used, will be less likely to place greater weighting on safety as an important characteristic of a hydrogen industry. </w:t>
      </w:r>
      <w:r w:rsidRPr="00027680">
        <w:t xml:space="preserve">Respondents confident that governments make decisions based on evidence and respondents with greater levels of self-rated knowledge about hydrogen allocated statistically significantly more importance weighting, than their counterparts, to accessibility (Table 3). This could indicate that individuals with greater knowledge about hydrogen recognise that new (or modifications to existing) infrastructure will be required to deliver hydrogen to end-users and as such, specific investments will be required to ensure accessibility is not sacrificed in the pursuit of other objectives. However, at the same time, it is not surprising that accessibility received relatively fewer importance weighting points in general given that accessibility has been sacrificed in order to minimise social costs, namely safety risks, associated with proximity to hydrogen infrastructure in other contexts </w:t>
      </w:r>
      <w:r w:rsidRPr="00027680">
        <w:rPr>
          <w:noProof/>
        </w:rPr>
        <w:t>(O’Garra et al., 2008)</w:t>
      </w:r>
      <w:r w:rsidRPr="00027680">
        <w:t xml:space="preserve">. Further research will be required to understand whether these results hold if and when localised hydrogen infrastructure is installed in Australia. Current research reporting on public acceptance toward specific technology or infrastructure such as vehicles and refuelling stations has largely drawn on experiences in more advanced hydrogen economy contexts, e.g. Europe </w:t>
      </w:r>
      <w:r w:rsidRPr="00027680">
        <w:rPr>
          <w:noProof/>
        </w:rPr>
        <w:t>(e.g. Huijts and van Wee, 2015; Thesen and Langhelle, 2008)</w:t>
      </w:r>
      <w:r w:rsidRPr="00027680">
        <w:t>.</w:t>
      </w:r>
      <w:r w:rsidRPr="00625D63">
        <w:t xml:space="preserve"> </w:t>
      </w:r>
    </w:p>
    <w:p w:rsidR="001B0C4A" w:rsidRDefault="001B0C4A" w:rsidP="009D0447">
      <w:pPr>
        <w:spacing w:after="0" w:line="480" w:lineRule="auto"/>
        <w:jc w:val="both"/>
      </w:pPr>
    </w:p>
    <w:p w:rsidR="001B0C4A" w:rsidRDefault="001B0C4A" w:rsidP="009D0447">
      <w:pPr>
        <w:spacing w:after="0" w:line="480" w:lineRule="auto"/>
        <w:jc w:val="both"/>
      </w:pPr>
      <w:r w:rsidRPr="00630D7D">
        <w:lastRenderedPageBreak/>
        <w:t>Alongside the associations</w:t>
      </w:r>
      <w:r>
        <w:t xml:space="preserve"> detailed above,</w:t>
      </w:r>
      <w:r w:rsidRPr="00630D7D">
        <w:t xml:space="preserve"> this research also shows low levels of self-rated knowledge in the survey</w:t>
      </w:r>
      <w:r>
        <w:t xml:space="preserve"> case study area </w:t>
      </w:r>
      <w:r w:rsidRPr="00630D7D">
        <w:t xml:space="preserve">(Table 2). This finding aligns with other survey research across the globe </w:t>
      </w:r>
      <w:r w:rsidRPr="00630D7D">
        <w:rPr>
          <w:noProof/>
        </w:rPr>
        <w:t>(Achterberg et al., 2010; Huijts and van Wee, 2015; Ricci et al., 2008)</w:t>
      </w:r>
      <w:r w:rsidRPr="00630D7D">
        <w:t>.</w:t>
      </w:r>
      <w:r>
        <w:t xml:space="preserve"> Such</w:t>
      </w:r>
      <w:r w:rsidRPr="001948CB">
        <w:t xml:space="preserve"> results, coupled with recent policy interest and investment in developing a hydrogen industry in Australia, indicates that building </w:t>
      </w:r>
      <w:r>
        <w:t>the public’s</w:t>
      </w:r>
      <w:r w:rsidRPr="001948CB">
        <w:t xml:space="preserve"> objective and subjective knowledge of hydrogen </w:t>
      </w:r>
      <w:r>
        <w:t>could</w:t>
      </w:r>
      <w:r w:rsidRPr="001948CB">
        <w:t xml:space="preserve"> be critical for </w:t>
      </w:r>
      <w:r>
        <w:t>social licence outcomes,</w:t>
      </w:r>
      <w:r w:rsidRPr="001948CB">
        <w:t xml:space="preserve"> and therefore industry success and sustainability </w:t>
      </w:r>
      <w:r w:rsidRPr="001948CB">
        <w:rPr>
          <w:noProof/>
        </w:rPr>
        <w:t>(Australian Government Department of Industry, 2020; Commonwealth of Australia, 2019)</w:t>
      </w:r>
      <w:r w:rsidRPr="001948CB">
        <w:t>.</w:t>
      </w:r>
    </w:p>
    <w:p w:rsidR="001B0C4A" w:rsidRDefault="001B0C4A" w:rsidP="009D0447">
      <w:pPr>
        <w:spacing w:after="0" w:line="480" w:lineRule="auto"/>
        <w:jc w:val="both"/>
      </w:pPr>
    </w:p>
    <w:p w:rsidR="001B0C4A" w:rsidRPr="0014604F" w:rsidRDefault="001B0C4A" w:rsidP="009D0447">
      <w:pPr>
        <w:spacing w:after="0" w:line="480" w:lineRule="auto"/>
        <w:ind w:left="426"/>
        <w:jc w:val="both"/>
        <w:rPr>
          <w:b/>
        </w:rPr>
      </w:pPr>
      <w:r w:rsidRPr="0014604F">
        <w:rPr>
          <w:b/>
        </w:rPr>
        <w:t xml:space="preserve">4.3 Environmental attitudes and climate change mitigation </w:t>
      </w:r>
    </w:p>
    <w:p w:rsidR="001B0C4A" w:rsidRDefault="001B0C4A" w:rsidP="009D0447">
      <w:pPr>
        <w:spacing w:after="0" w:line="480" w:lineRule="auto"/>
        <w:jc w:val="both"/>
      </w:pPr>
    </w:p>
    <w:p w:rsidR="001B0C4A" w:rsidRDefault="001B0C4A" w:rsidP="009D0447">
      <w:pPr>
        <w:spacing w:after="0" w:line="480" w:lineRule="auto"/>
        <w:jc w:val="both"/>
        <w:rPr>
          <w:i/>
        </w:rPr>
      </w:pPr>
      <w:r w:rsidRPr="00D81D3D">
        <w:t>Respondents that agreed climate change is happening (83</w:t>
      </w:r>
      <w:r>
        <w:t>%</w:t>
      </w:r>
      <w:r w:rsidRPr="00D81D3D">
        <w:t>), largely human-induced</w:t>
      </w:r>
      <w:r>
        <w:t xml:space="preserve"> (74%)</w:t>
      </w:r>
      <w:r w:rsidRPr="00D81D3D">
        <w:t xml:space="preserve">, and who expect climate change to have a negative impact on their household </w:t>
      </w:r>
      <w:r>
        <w:t xml:space="preserve">(54%), allocated statistically significantly (p≤0.01) </w:t>
      </w:r>
      <w:r w:rsidRPr="00D81D3D">
        <w:t>more</w:t>
      </w:r>
      <w:r>
        <w:t xml:space="preserve"> importance </w:t>
      </w:r>
      <w:r w:rsidRPr="00D81D3D">
        <w:t xml:space="preserve">to climate change mitigation </w:t>
      </w:r>
      <w:r>
        <w:t xml:space="preserve">as an important characteristic of a </w:t>
      </w:r>
      <w:r w:rsidRPr="00D81D3D">
        <w:t>hydrogen</w:t>
      </w:r>
      <w:r>
        <w:t xml:space="preserve"> industry</w:t>
      </w:r>
      <w:r w:rsidRPr="00D81D3D">
        <w:t xml:space="preserve"> (Table 3). </w:t>
      </w:r>
      <w:r>
        <w:t>R</w:t>
      </w:r>
      <w:r w:rsidRPr="00D81D3D">
        <w:t>espondents</w:t>
      </w:r>
      <w:r>
        <w:t xml:space="preserve"> </w:t>
      </w:r>
      <w:r w:rsidRPr="00D81D3D">
        <w:t xml:space="preserve">willing to make pro-environmental trade-offs </w:t>
      </w:r>
      <w:r>
        <w:t xml:space="preserve">allocated six percent more weighting to the </w:t>
      </w:r>
      <w:r w:rsidRPr="00D81D3D">
        <w:t>importance o</w:t>
      </w:r>
      <w:r>
        <w:t>f</w:t>
      </w:r>
      <w:r w:rsidRPr="00D81D3D">
        <w:t xml:space="preserve"> climate change mitigation</w:t>
      </w:r>
      <w:r>
        <w:t xml:space="preserve"> (p≤0.01)</w:t>
      </w:r>
      <w:r w:rsidRPr="00D81D3D">
        <w:t xml:space="preserve">. </w:t>
      </w:r>
      <w:r>
        <w:t xml:space="preserve">This finding supports existing research that suggests there is a desire for hydrogen to be made using renewable energy to power electrolysis </w:t>
      </w:r>
      <w:r>
        <w:rPr>
          <w:noProof/>
        </w:rPr>
        <w:t>(Zimmer and Welke, 2012)</w:t>
      </w:r>
      <w:r>
        <w:t xml:space="preserve">, and provides evidence for </w:t>
      </w:r>
      <w:r w:rsidRPr="00145B37">
        <w:rPr>
          <w:i/>
        </w:rPr>
        <w:t xml:space="preserve">H3: Individuals who are more concerned about climate change (e.g. agree that climate change is occurring, that it is largely human-induced and likely to have negative impacts on their households) will be more likely to allocate greater weighting to climate change mitigation as an important characteristic of a hydrogen industry. </w:t>
      </w:r>
    </w:p>
    <w:p w:rsidR="001B0C4A" w:rsidRDefault="001B0C4A" w:rsidP="009D0447">
      <w:pPr>
        <w:spacing w:after="0" w:line="480" w:lineRule="auto"/>
        <w:jc w:val="both"/>
      </w:pPr>
    </w:p>
    <w:p w:rsidR="001B0C4A" w:rsidRDefault="001B0C4A" w:rsidP="009D0447">
      <w:pPr>
        <w:spacing w:after="0" w:line="480" w:lineRule="auto"/>
        <w:jc w:val="both"/>
      </w:pPr>
      <w:r w:rsidRPr="00647E22">
        <w:t>O</w:t>
      </w:r>
      <w:r>
        <w:t xml:space="preserve">ther studies show that while Australians consider climate change mitigation important, it is not always the most important issue when making decisions with inherent trade-offs </w:t>
      </w:r>
      <w:r>
        <w:rPr>
          <w:noProof/>
        </w:rPr>
        <w:t>(Colvin and Jotzo, 2021)</w:t>
      </w:r>
      <w:r>
        <w:t xml:space="preserve">. The research reported here supports that finding: nearly a third of respondents rated climate change mitigation as the most or equal most important characteristic of a hydrogen industry but only 18 respondents (of 1824) assigned all of their </w:t>
      </w:r>
      <w:r>
        <w:lastRenderedPageBreak/>
        <w:t xml:space="preserve">available importance weighting points to climate change mitigation. The respondents that allocated statistically significantly (p≤0.05) less importance to climate change mitigation included residents of </w:t>
      </w:r>
      <w:r w:rsidRPr="00C62BB4">
        <w:t xml:space="preserve">low socioeconomic </w:t>
      </w:r>
      <w:r>
        <w:t>regions,</w:t>
      </w:r>
      <w:r w:rsidRPr="00C62BB4">
        <w:t xml:space="preserve"> indicating they may be making trade-offs to prioritise other objectives. On balance</w:t>
      </w:r>
      <w:r>
        <w:t>,</w:t>
      </w:r>
      <w:r w:rsidRPr="00C62BB4">
        <w:t xml:space="preserve"> the relative importance of climate change mitigation from the transition to hydrogen appears to</w:t>
      </w:r>
      <w:r>
        <w:t xml:space="preserve"> be</w:t>
      </w:r>
      <w:r w:rsidRPr="00C62BB4">
        <w:t xml:space="preserve"> an important consideration </w:t>
      </w:r>
      <w:r>
        <w:t xml:space="preserve">for at least a subset of south-eastern </w:t>
      </w:r>
      <w:r w:rsidRPr="00C62BB4">
        <w:t>Australians</w:t>
      </w:r>
      <w:r>
        <w:t xml:space="preserve"> </w:t>
      </w:r>
      <w:r w:rsidRPr="00C62BB4">
        <w:t xml:space="preserve">to support the transition to a hydrogen industry. </w:t>
      </w:r>
      <w:r>
        <w:t xml:space="preserve">If seeking to maximise the likelihood that the industry gains a social licence, this result may be pertinent in any policy decision for Australia to maintain or abandon the </w:t>
      </w:r>
      <w:r w:rsidRPr="0022451B">
        <w:t>current technology neutral status for hydrogen production</w:t>
      </w:r>
      <w:r>
        <w:t>.</w:t>
      </w:r>
    </w:p>
    <w:p w:rsidR="001B0C4A" w:rsidRPr="00145B37" w:rsidRDefault="001B0C4A" w:rsidP="009D0447">
      <w:pPr>
        <w:spacing w:after="0" w:line="480" w:lineRule="auto"/>
        <w:jc w:val="both"/>
        <w:rPr>
          <w:i/>
        </w:rPr>
      </w:pPr>
    </w:p>
    <w:p w:rsidR="001B0C4A" w:rsidRDefault="001B0C4A" w:rsidP="009D0447">
      <w:pPr>
        <w:spacing w:after="0" w:line="480" w:lineRule="auto"/>
        <w:jc w:val="both"/>
      </w:pPr>
      <w:r w:rsidRPr="003B148A">
        <w:t xml:space="preserve">Respondents willing to make pro-environmental trade-offs </w:t>
      </w:r>
      <w:r>
        <w:t>also allocated</w:t>
      </w:r>
      <w:r w:rsidRPr="003B148A">
        <w:t xml:space="preserve"> 1.5 percent</w:t>
      </w:r>
      <w:r>
        <w:t xml:space="preserve"> fewer</w:t>
      </w:r>
      <w:r w:rsidRPr="003B148A">
        <w:t xml:space="preserve"> importance </w:t>
      </w:r>
      <w:r>
        <w:t xml:space="preserve">weighting points </w:t>
      </w:r>
      <w:r w:rsidRPr="003B148A">
        <w:t>to reliability (</w:t>
      </w:r>
      <w:r>
        <w:t xml:space="preserve">p≤0.01; </w:t>
      </w:r>
      <w:r w:rsidRPr="003B148A">
        <w:t xml:space="preserve">Table 3). </w:t>
      </w:r>
      <w:r>
        <w:t xml:space="preserve">Additionally, there were statistically significant relationships between environmental </w:t>
      </w:r>
      <w:r w:rsidRPr="00662108">
        <w:t>attitudes and importance weightings for safety and affordability characteristics. A possible explanation for th</w:t>
      </w:r>
      <w:r>
        <w:t>ese</w:t>
      </w:r>
      <w:r w:rsidRPr="00662108">
        <w:t xml:space="preserve"> finding</w:t>
      </w:r>
      <w:r>
        <w:t>s</w:t>
      </w:r>
      <w:r w:rsidRPr="00662108">
        <w:t xml:space="preserve"> </w:t>
      </w:r>
      <w:r>
        <w:t>i</w:t>
      </w:r>
      <w:r w:rsidRPr="00662108">
        <w:t>s that as respondents allocated more importance to climate change mitigation there were fewer importance allocation points to allocate to these characteristics, i.e. these were the characteristics that respondents were willing to trade-off.</w:t>
      </w:r>
      <w:r>
        <w:t xml:space="preserve"> </w:t>
      </w:r>
    </w:p>
    <w:p w:rsidR="001B0C4A" w:rsidRDefault="001B0C4A" w:rsidP="009D0447">
      <w:pPr>
        <w:spacing w:after="0" w:line="480" w:lineRule="auto"/>
        <w:jc w:val="both"/>
      </w:pPr>
    </w:p>
    <w:p w:rsidR="001B0C4A" w:rsidRPr="0014604F" w:rsidRDefault="001B0C4A" w:rsidP="009D0447">
      <w:pPr>
        <w:spacing w:after="0" w:line="480" w:lineRule="auto"/>
        <w:ind w:left="426"/>
        <w:jc w:val="both"/>
        <w:rPr>
          <w:b/>
        </w:rPr>
      </w:pPr>
      <w:r w:rsidRPr="0014604F">
        <w:rPr>
          <w:b/>
        </w:rPr>
        <w:t>4.4 Job and regional economy characteristics</w:t>
      </w:r>
    </w:p>
    <w:p w:rsidR="001B0C4A" w:rsidRDefault="001B0C4A" w:rsidP="009D0447">
      <w:pPr>
        <w:spacing w:after="0" w:line="480" w:lineRule="auto"/>
        <w:jc w:val="both"/>
      </w:pPr>
    </w:p>
    <w:p w:rsidR="001B0C4A" w:rsidRDefault="001B0C4A" w:rsidP="009D0447">
      <w:pPr>
        <w:spacing w:after="0" w:line="480" w:lineRule="auto"/>
        <w:jc w:val="both"/>
      </w:pPr>
      <w:r>
        <w:t>Job creation attracted relatively fewer im</w:t>
      </w:r>
      <w:r w:rsidRPr="005B710F">
        <w:t>portance</w:t>
      </w:r>
      <w:r>
        <w:t xml:space="preserve"> weighting points from o</w:t>
      </w:r>
      <w:r w:rsidRPr="005B710F">
        <w:t>lder respondents and respondents with a university education</w:t>
      </w:r>
      <w:r>
        <w:t xml:space="preserve"> (Table 3)</w:t>
      </w:r>
      <w:r w:rsidRPr="005B710F">
        <w:t xml:space="preserve">. This </w:t>
      </w:r>
      <w:r>
        <w:t xml:space="preserve">result </w:t>
      </w:r>
      <w:r w:rsidRPr="005B710F">
        <w:t>was expected as these groups are less likely to directly benefit from any increase in job opportunities created by the establishment of a hydrogen industry.</w:t>
      </w:r>
      <w:r>
        <w:t xml:space="preserve"> For example, </w:t>
      </w:r>
      <w:r w:rsidRPr="00E85D15">
        <w:t>older people may already be, or may anticipate</w:t>
      </w:r>
      <w:r>
        <w:t>,</w:t>
      </w:r>
      <w:r w:rsidRPr="00E85D15">
        <w:t xml:space="preserve"> that they will be retired before any meaningful progress is made toward scaling up the hydrogen industry</w:t>
      </w:r>
      <w:r>
        <w:t xml:space="preserve">. </w:t>
      </w:r>
      <w:r w:rsidRPr="00E85D15">
        <w:t>University educated respondents may be sufficiently confident in their job prospects regardless of the development or rate of development of a hydrogen industry</w:t>
      </w:r>
      <w:r>
        <w:t xml:space="preserve">. This result also largely supports </w:t>
      </w:r>
      <w:r w:rsidRPr="00145B37">
        <w:rPr>
          <w:i/>
        </w:rPr>
        <w:t xml:space="preserve">H4: Individuals most likely to benefit from job opportunities in </w:t>
      </w:r>
      <w:r w:rsidRPr="00145B37">
        <w:rPr>
          <w:i/>
        </w:rPr>
        <w:lastRenderedPageBreak/>
        <w:t>the hydrogen industry (e.g. individuals of working age, with trade qualifications, living in regional areas with potential for hydrogen production sites) will be more likely to allocate greater weighting to job creation as an important characteristic of a hydrogen industry.</w:t>
      </w:r>
      <w:r w:rsidRPr="00542401">
        <w:t xml:space="preserve"> However, it must be noted that there was no statistically significant evidence for individuals living in regional areas allocating greater weighting to job creation.</w:t>
      </w:r>
      <w:r>
        <w:t xml:space="preserve"> This is likely a reflection of the scope and timing of this study. The hydrogen industry is in its infancy in Australia and the job opportunities and where they may be located is largely yet to be determined. Further research aimed at understanding public acceptance of specific hydrogen demonstration plants or other infrastructure in the future may reveal different results. </w:t>
      </w:r>
      <w:r w:rsidRPr="00511761">
        <w:t>Further, respondents willing to make pro-environmental trade-offs allocated 1.5 percent fewer importance weighting points to job creation (p≤0.01), i.e. they were willing to trade-off job creation for environmental objectives (Table 3). These results are notable given that job</w:t>
      </w:r>
      <w:r>
        <w:t xml:space="preserve"> opportunities and associated socioeconomic ramifications of the energy transition have been used as an argument for and against the transition to renewable energy (including renewable hydrogen) in the Australian context </w:t>
      </w:r>
      <w:r>
        <w:rPr>
          <w:noProof/>
        </w:rPr>
        <w:t>(Commonwealth of Australia, 2019; Curran, 2012; Garnaut, 2019; Goddard and Farrelly, 2018)</w:t>
      </w:r>
      <w:r>
        <w:t xml:space="preserve">. </w:t>
      </w:r>
    </w:p>
    <w:p w:rsidR="001B0C4A" w:rsidRDefault="001B0C4A" w:rsidP="009D0447">
      <w:pPr>
        <w:spacing w:after="0" w:line="480" w:lineRule="auto"/>
        <w:jc w:val="both"/>
      </w:pPr>
    </w:p>
    <w:p w:rsidR="001B0C4A" w:rsidRPr="0014604F" w:rsidRDefault="001B0C4A" w:rsidP="009D0447">
      <w:pPr>
        <w:spacing w:after="0" w:line="480" w:lineRule="auto"/>
        <w:ind w:left="426"/>
        <w:jc w:val="both"/>
        <w:rPr>
          <w:b/>
        </w:rPr>
      </w:pPr>
      <w:r w:rsidRPr="0014604F">
        <w:rPr>
          <w:b/>
        </w:rPr>
        <w:t>4.5 Overall findings</w:t>
      </w:r>
    </w:p>
    <w:p w:rsidR="001B0C4A" w:rsidRDefault="001B0C4A" w:rsidP="009D0447">
      <w:pPr>
        <w:spacing w:after="0" w:line="480" w:lineRule="auto"/>
        <w:jc w:val="both"/>
      </w:pPr>
    </w:p>
    <w:p w:rsidR="001B0C4A" w:rsidRDefault="001B0C4A" w:rsidP="009D0447">
      <w:pPr>
        <w:spacing w:after="0" w:line="480" w:lineRule="auto"/>
        <w:jc w:val="both"/>
      </w:pPr>
      <w:r>
        <w:t>Thi</w:t>
      </w:r>
      <w:r w:rsidRPr="001D56BD">
        <w:t xml:space="preserve">s research builds on a growing body of literature that captures public views toward plans for our energy future </w:t>
      </w:r>
      <w:r w:rsidRPr="001D56BD">
        <w:rPr>
          <w:noProof/>
        </w:rPr>
        <w:t>(Ostfeld and Reiner, 2020)</w:t>
      </w:r>
      <w:r>
        <w:t xml:space="preserve">. </w:t>
      </w:r>
      <w:r w:rsidRPr="005D2E70">
        <w:t>The</w:t>
      </w:r>
      <w:r>
        <w:t xml:space="preserve"> results indicate that individuals are more likely to place importance on characteristics they are concerned about (e.g. safety risks, or climate change mitigation) or, likely to directly benefit from (e.g. job creation). This mirrors research findings in other energy contexts where those individuals likely to benefit from jobs or economic activity willingly (or due to other constraints) trade-off other objectives to access those benefits. The relative importance of safety and climate change mitigation (both public goods) also supports the argument</w:t>
      </w:r>
      <w:r w:rsidRPr="00710AB9">
        <w:t xml:space="preserve"> </w:t>
      </w:r>
      <w:r>
        <w:t xml:space="preserve">that market failures underpin public concerns that are critical in the decision to grant or withhold a social licence </w:t>
      </w:r>
      <w:r>
        <w:rPr>
          <w:noProof/>
        </w:rPr>
        <w:t>(Dumbrell et al., 2020)</w:t>
      </w:r>
      <w:r>
        <w:t xml:space="preserve">. </w:t>
      </w:r>
    </w:p>
    <w:p w:rsidR="001B0C4A" w:rsidRPr="001D56BD" w:rsidRDefault="001B0C4A" w:rsidP="009D0447">
      <w:pPr>
        <w:spacing w:after="0" w:line="480" w:lineRule="auto"/>
        <w:jc w:val="both"/>
        <w:rPr>
          <w:highlight w:val="yellow"/>
        </w:rPr>
        <w:sectPr w:rsidR="001B0C4A" w:rsidRPr="001D56BD" w:rsidSect="005442AE">
          <w:footerReference w:type="default" r:id="rId8"/>
          <w:pgSz w:w="11906" w:h="16838"/>
          <w:pgMar w:top="1440" w:right="1440" w:bottom="1440" w:left="1440" w:header="708" w:footer="708" w:gutter="0"/>
          <w:lnNumType w:countBy="1" w:restart="continuous"/>
          <w:cols w:space="708"/>
          <w:docGrid w:linePitch="360"/>
        </w:sectPr>
      </w:pPr>
    </w:p>
    <w:p w:rsidR="001B0C4A" w:rsidRDefault="001B0C4A" w:rsidP="00BB73C2">
      <w:pPr>
        <w:tabs>
          <w:tab w:val="left" w:pos="810"/>
        </w:tabs>
        <w:spacing w:after="0" w:line="240" w:lineRule="auto"/>
      </w:pPr>
      <w:r w:rsidRPr="00913F11">
        <w:rPr>
          <w:b/>
        </w:rPr>
        <w:lastRenderedPageBreak/>
        <w:t>Table 3</w:t>
      </w:r>
      <w:r w:rsidRPr="00F73905">
        <w:t xml:space="preserve"> </w:t>
      </w:r>
      <w:r>
        <w:t xml:space="preserve">Average marginal effects </w:t>
      </w:r>
      <w:r w:rsidRPr="00F73905">
        <w:t>for</w:t>
      </w:r>
      <w:r>
        <w:t xml:space="preserve"> f</w:t>
      </w:r>
      <w:r w:rsidRPr="00F73905">
        <w:t>ractional multinomial logit</w:t>
      </w:r>
      <w:r>
        <w:t xml:space="preserve"> modelling of</w:t>
      </w:r>
      <w:r w:rsidRPr="00F73905">
        <w:t xml:space="preserve"> importance weighting allocated to </w:t>
      </w:r>
      <w:r>
        <w:t>six</w:t>
      </w:r>
      <w:r w:rsidRPr="00F73905">
        <w:t xml:space="preserve"> hydrogen industry</w:t>
      </w:r>
      <w:r>
        <w:t xml:space="preserve"> characteristics by survey respondents (n=1824).</w:t>
      </w:r>
    </w:p>
    <w:tbl>
      <w:tblPr>
        <w:tblStyle w:val="TableGrid"/>
        <w:tblW w:w="1427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7"/>
        <w:gridCol w:w="992"/>
        <w:gridCol w:w="1088"/>
        <w:gridCol w:w="16"/>
        <w:gridCol w:w="882"/>
        <w:gridCol w:w="898"/>
        <w:gridCol w:w="16"/>
        <w:gridCol w:w="32"/>
        <w:gridCol w:w="850"/>
        <w:gridCol w:w="896"/>
        <w:gridCol w:w="54"/>
        <w:gridCol w:w="16"/>
        <w:gridCol w:w="828"/>
        <w:gridCol w:w="54"/>
        <w:gridCol w:w="892"/>
        <w:gridCol w:w="6"/>
        <w:gridCol w:w="16"/>
        <w:gridCol w:w="781"/>
        <w:gridCol w:w="100"/>
        <w:gridCol w:w="892"/>
        <w:gridCol w:w="6"/>
        <w:gridCol w:w="16"/>
        <w:gridCol w:w="882"/>
        <w:gridCol w:w="42"/>
        <w:gridCol w:w="856"/>
        <w:gridCol w:w="16"/>
        <w:gridCol w:w="173"/>
      </w:tblGrid>
      <w:tr w:rsidR="001B0C4A" w:rsidRPr="00B54505" w:rsidTr="006D63D8">
        <w:trPr>
          <w:gridAfter w:val="1"/>
          <w:wAfter w:w="173" w:type="dxa"/>
        </w:trPr>
        <w:tc>
          <w:tcPr>
            <w:tcW w:w="2977" w:type="dxa"/>
            <w:tcBorders>
              <w:bottom w:val="single" w:sz="4" w:space="0" w:color="auto"/>
            </w:tcBorders>
            <w:shd w:val="clear" w:color="auto" w:fill="auto"/>
            <w:vAlign w:val="center"/>
          </w:tcPr>
          <w:p w:rsidR="001B0C4A" w:rsidRPr="004C0D7C" w:rsidRDefault="001B0C4A" w:rsidP="009D0447">
            <w:pPr>
              <w:rPr>
                <w:sz w:val="21"/>
                <w:szCs w:val="21"/>
              </w:rPr>
            </w:pPr>
            <w:r w:rsidRPr="004C0D7C">
              <w:rPr>
                <w:b/>
                <w:sz w:val="21"/>
                <w:szCs w:val="21"/>
              </w:rPr>
              <w:t>Variable</w:t>
            </w:r>
          </w:p>
        </w:tc>
        <w:tc>
          <w:tcPr>
            <w:tcW w:w="2096" w:type="dxa"/>
            <w:gridSpan w:val="3"/>
            <w:tcBorders>
              <w:bottom w:val="single" w:sz="4" w:space="0" w:color="auto"/>
            </w:tcBorders>
            <w:shd w:val="clear" w:color="auto" w:fill="auto"/>
            <w:vAlign w:val="center"/>
          </w:tcPr>
          <w:p w:rsidR="001B0C4A" w:rsidRPr="004C0D7C" w:rsidRDefault="001B0C4A" w:rsidP="009D0447">
            <w:pPr>
              <w:jc w:val="center"/>
              <w:rPr>
                <w:b/>
                <w:sz w:val="21"/>
                <w:szCs w:val="21"/>
              </w:rPr>
            </w:pPr>
            <w:r w:rsidRPr="004C0D7C">
              <w:rPr>
                <w:b/>
                <w:sz w:val="21"/>
                <w:szCs w:val="21"/>
              </w:rPr>
              <w:t>Safety</w:t>
            </w:r>
          </w:p>
        </w:tc>
        <w:tc>
          <w:tcPr>
            <w:tcW w:w="1796" w:type="dxa"/>
            <w:gridSpan w:val="3"/>
            <w:tcBorders>
              <w:bottom w:val="single" w:sz="4" w:space="0" w:color="auto"/>
            </w:tcBorders>
            <w:shd w:val="clear" w:color="auto" w:fill="auto"/>
            <w:vAlign w:val="center"/>
          </w:tcPr>
          <w:p w:rsidR="001B0C4A" w:rsidRPr="004C0D7C" w:rsidRDefault="001B0C4A" w:rsidP="009D0447">
            <w:pPr>
              <w:jc w:val="center"/>
              <w:rPr>
                <w:b/>
                <w:sz w:val="21"/>
                <w:szCs w:val="21"/>
              </w:rPr>
            </w:pPr>
            <w:r w:rsidRPr="004C0D7C">
              <w:rPr>
                <w:b/>
                <w:sz w:val="21"/>
                <w:szCs w:val="21"/>
              </w:rPr>
              <w:t>Climate change mitigation</w:t>
            </w:r>
          </w:p>
        </w:tc>
        <w:tc>
          <w:tcPr>
            <w:tcW w:w="1848" w:type="dxa"/>
            <w:gridSpan w:val="5"/>
            <w:tcBorders>
              <w:bottom w:val="single" w:sz="4" w:space="0" w:color="auto"/>
            </w:tcBorders>
            <w:shd w:val="clear" w:color="auto" w:fill="auto"/>
            <w:vAlign w:val="center"/>
          </w:tcPr>
          <w:p w:rsidR="001B0C4A" w:rsidRPr="004C0D7C" w:rsidRDefault="001B0C4A" w:rsidP="009D0447">
            <w:pPr>
              <w:jc w:val="center"/>
              <w:rPr>
                <w:b/>
                <w:sz w:val="21"/>
                <w:szCs w:val="21"/>
              </w:rPr>
            </w:pPr>
            <w:r w:rsidRPr="004C0D7C">
              <w:rPr>
                <w:b/>
                <w:sz w:val="21"/>
                <w:szCs w:val="21"/>
              </w:rPr>
              <w:t>Affordability</w:t>
            </w:r>
          </w:p>
        </w:tc>
        <w:tc>
          <w:tcPr>
            <w:tcW w:w="1796" w:type="dxa"/>
            <w:gridSpan w:val="5"/>
            <w:tcBorders>
              <w:bottom w:val="single" w:sz="4" w:space="0" w:color="auto"/>
            </w:tcBorders>
            <w:shd w:val="clear" w:color="auto" w:fill="auto"/>
            <w:vAlign w:val="center"/>
          </w:tcPr>
          <w:p w:rsidR="001B0C4A" w:rsidRPr="004C0D7C" w:rsidRDefault="001B0C4A" w:rsidP="009D0447">
            <w:pPr>
              <w:jc w:val="center"/>
              <w:rPr>
                <w:b/>
                <w:sz w:val="21"/>
                <w:szCs w:val="21"/>
              </w:rPr>
            </w:pPr>
            <w:r w:rsidRPr="004C0D7C">
              <w:rPr>
                <w:b/>
                <w:sz w:val="21"/>
                <w:szCs w:val="21"/>
              </w:rPr>
              <w:t>Reliability</w:t>
            </w:r>
          </w:p>
        </w:tc>
        <w:tc>
          <w:tcPr>
            <w:tcW w:w="1795" w:type="dxa"/>
            <w:gridSpan w:val="5"/>
            <w:tcBorders>
              <w:bottom w:val="single" w:sz="4" w:space="0" w:color="auto"/>
            </w:tcBorders>
            <w:shd w:val="clear" w:color="auto" w:fill="auto"/>
            <w:vAlign w:val="center"/>
          </w:tcPr>
          <w:p w:rsidR="001B0C4A" w:rsidRPr="004C0D7C" w:rsidRDefault="001B0C4A" w:rsidP="009D0447">
            <w:pPr>
              <w:jc w:val="center"/>
              <w:rPr>
                <w:b/>
                <w:sz w:val="21"/>
                <w:szCs w:val="21"/>
              </w:rPr>
            </w:pPr>
            <w:r w:rsidRPr="004C0D7C">
              <w:rPr>
                <w:b/>
                <w:sz w:val="21"/>
                <w:szCs w:val="21"/>
              </w:rPr>
              <w:t>Accessibility</w:t>
            </w:r>
          </w:p>
        </w:tc>
        <w:tc>
          <w:tcPr>
            <w:tcW w:w="1796" w:type="dxa"/>
            <w:gridSpan w:val="4"/>
            <w:tcBorders>
              <w:bottom w:val="single" w:sz="4" w:space="0" w:color="auto"/>
            </w:tcBorders>
            <w:shd w:val="clear" w:color="auto" w:fill="auto"/>
            <w:vAlign w:val="center"/>
          </w:tcPr>
          <w:p w:rsidR="001B0C4A" w:rsidRPr="004C0D7C" w:rsidRDefault="001B0C4A" w:rsidP="009D0447">
            <w:pPr>
              <w:jc w:val="center"/>
              <w:rPr>
                <w:b/>
                <w:sz w:val="21"/>
                <w:szCs w:val="21"/>
              </w:rPr>
            </w:pPr>
            <w:r w:rsidRPr="004C0D7C">
              <w:rPr>
                <w:b/>
                <w:sz w:val="21"/>
                <w:szCs w:val="21"/>
              </w:rPr>
              <w:t>Job creation</w:t>
            </w:r>
          </w:p>
        </w:tc>
      </w:tr>
      <w:tr w:rsidR="001B0C4A" w:rsidRPr="00B54505" w:rsidTr="006D63D8">
        <w:trPr>
          <w:gridAfter w:val="2"/>
          <w:wAfter w:w="189" w:type="dxa"/>
        </w:trPr>
        <w:tc>
          <w:tcPr>
            <w:tcW w:w="2977" w:type="dxa"/>
            <w:tcBorders>
              <w:bottom w:val="nil"/>
            </w:tcBorders>
            <w:shd w:val="clear" w:color="auto" w:fill="auto"/>
          </w:tcPr>
          <w:p w:rsidR="001B0C4A" w:rsidRPr="004C0D7C" w:rsidRDefault="001B0C4A" w:rsidP="009D0447">
            <w:pPr>
              <w:rPr>
                <w:sz w:val="21"/>
                <w:szCs w:val="21"/>
              </w:rPr>
            </w:pPr>
            <w:r>
              <w:rPr>
                <w:rFonts w:eastAsia="Times New Roman"/>
                <w:sz w:val="21"/>
                <w:szCs w:val="21"/>
              </w:rPr>
              <w:t>S</w:t>
            </w:r>
            <w:r w:rsidRPr="004C0D7C">
              <w:rPr>
                <w:rFonts w:eastAsia="Times New Roman"/>
                <w:sz w:val="21"/>
                <w:szCs w:val="21"/>
              </w:rPr>
              <w:t>tate</w:t>
            </w:r>
            <w:r>
              <w:rPr>
                <w:rFonts w:eastAsia="Times New Roman"/>
                <w:sz w:val="21"/>
                <w:szCs w:val="21"/>
              </w:rPr>
              <w:t xml:space="preserve"> (Victoria)</w:t>
            </w:r>
          </w:p>
        </w:tc>
        <w:tc>
          <w:tcPr>
            <w:tcW w:w="992" w:type="dxa"/>
            <w:tcBorders>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1088" w:type="dxa"/>
            <w:tcBorders>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(0.008)</w:t>
            </w:r>
          </w:p>
        </w:tc>
        <w:tc>
          <w:tcPr>
            <w:tcW w:w="898" w:type="dxa"/>
            <w:gridSpan w:val="2"/>
            <w:tcBorders>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0.004</w:t>
            </w:r>
          </w:p>
        </w:tc>
        <w:tc>
          <w:tcPr>
            <w:tcW w:w="898" w:type="dxa"/>
            <w:tcBorders>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(0.008)</w:t>
            </w:r>
          </w:p>
        </w:tc>
        <w:tc>
          <w:tcPr>
            <w:tcW w:w="898" w:type="dxa"/>
            <w:gridSpan w:val="3"/>
            <w:tcBorders>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950" w:type="dxa"/>
            <w:gridSpan w:val="2"/>
            <w:tcBorders>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(0.006)</w:t>
            </w:r>
          </w:p>
        </w:tc>
        <w:tc>
          <w:tcPr>
            <w:tcW w:w="898" w:type="dxa"/>
            <w:gridSpan w:val="3"/>
            <w:tcBorders>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-0.001</w:t>
            </w:r>
          </w:p>
        </w:tc>
        <w:tc>
          <w:tcPr>
            <w:tcW w:w="898" w:type="dxa"/>
            <w:gridSpan w:val="2"/>
            <w:tcBorders>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(0.006)</w:t>
            </w:r>
          </w:p>
        </w:tc>
        <w:tc>
          <w:tcPr>
            <w:tcW w:w="897" w:type="dxa"/>
            <w:gridSpan w:val="3"/>
            <w:tcBorders>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0.008</w:t>
            </w:r>
          </w:p>
        </w:tc>
        <w:tc>
          <w:tcPr>
            <w:tcW w:w="898" w:type="dxa"/>
            <w:gridSpan w:val="2"/>
            <w:tcBorders>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(0.005)</w:t>
            </w:r>
          </w:p>
        </w:tc>
        <w:tc>
          <w:tcPr>
            <w:tcW w:w="898" w:type="dxa"/>
            <w:gridSpan w:val="2"/>
            <w:tcBorders>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-0.005</w:t>
            </w:r>
          </w:p>
        </w:tc>
        <w:tc>
          <w:tcPr>
            <w:tcW w:w="898" w:type="dxa"/>
            <w:gridSpan w:val="2"/>
            <w:tcBorders>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(0.006)</w:t>
            </w:r>
          </w:p>
        </w:tc>
      </w:tr>
      <w:tr w:rsidR="001B0C4A" w:rsidRPr="00B54505" w:rsidTr="006D63D8">
        <w:trPr>
          <w:gridAfter w:val="2"/>
          <w:wAfter w:w="189" w:type="dxa"/>
        </w:trPr>
        <w:tc>
          <w:tcPr>
            <w:tcW w:w="2977" w:type="dxa"/>
            <w:tcBorders>
              <w:top w:val="nil"/>
              <w:bottom w:val="nil"/>
            </w:tcBorders>
            <w:shd w:val="clear" w:color="auto" w:fill="auto"/>
          </w:tcPr>
          <w:p w:rsidR="001B0C4A" w:rsidRPr="004C0D7C" w:rsidRDefault="001B0C4A" w:rsidP="009D0447">
            <w:pPr>
              <w:rPr>
                <w:sz w:val="21"/>
                <w:szCs w:val="21"/>
              </w:rPr>
            </w:pPr>
            <w:r w:rsidRPr="004C0D7C">
              <w:rPr>
                <w:rFonts w:eastAsia="Times New Roman"/>
                <w:sz w:val="21"/>
                <w:szCs w:val="21"/>
              </w:rPr>
              <w:t>Urban</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-0.020**</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(0.010)</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-0.011</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(0.010)</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0.024***</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0.014*</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(0.007)</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0.002</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(0.006)</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-0.008</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(0.007)</w:t>
            </w:r>
          </w:p>
        </w:tc>
      </w:tr>
      <w:tr w:rsidR="001B0C4A" w:rsidRPr="00B54505" w:rsidTr="006D63D8">
        <w:trPr>
          <w:gridAfter w:val="2"/>
          <w:wAfter w:w="189" w:type="dxa"/>
        </w:trPr>
        <w:tc>
          <w:tcPr>
            <w:tcW w:w="2977" w:type="dxa"/>
            <w:tcBorders>
              <w:top w:val="nil"/>
              <w:bottom w:val="nil"/>
            </w:tcBorders>
            <w:shd w:val="clear" w:color="auto" w:fill="auto"/>
          </w:tcPr>
          <w:p w:rsidR="001B0C4A" w:rsidRPr="004C0D7C" w:rsidRDefault="001B0C4A" w:rsidP="009D0447">
            <w:pPr>
              <w:rPr>
                <w:rFonts w:eastAsia="Times New Roman"/>
                <w:sz w:val="21"/>
                <w:szCs w:val="21"/>
              </w:rPr>
            </w:pPr>
            <w:r w:rsidRPr="004C0D7C">
              <w:rPr>
                <w:rFonts w:eastAsia="Times New Roman"/>
                <w:sz w:val="21"/>
                <w:szCs w:val="21"/>
              </w:rPr>
              <w:t>Older respondents</w:t>
            </w:r>
          </w:p>
        </w:tc>
        <w:tc>
          <w:tcPr>
            <w:tcW w:w="992" w:type="dxa"/>
            <w:tcBorders>
              <w:top w:val="nil"/>
              <w:bottom w:val="nil"/>
            </w:tcBorders>
            <w:shd w:val="clear" w:color="auto" w:fill="auto"/>
            <w:vAlign w:val="center"/>
          </w:tcPr>
          <w:p w:rsidR="001B0C4A" w:rsidRPr="004C0D7C" w:rsidRDefault="001B0C4A" w:rsidP="009D0447">
            <w:pPr>
              <w:ind w:left="-57" w:right="-113"/>
              <w:rPr>
                <w:color w:val="000000"/>
                <w:sz w:val="21"/>
                <w:szCs w:val="21"/>
              </w:rPr>
            </w:pPr>
            <w:r>
              <w:rPr>
                <w:color w:val="000000"/>
                <w:sz w:val="21"/>
                <w:szCs w:val="21"/>
              </w:rPr>
              <w:t xml:space="preserve"> </w:t>
            </w:r>
            <w:r w:rsidRPr="004C0D7C">
              <w:rPr>
                <w:color w:val="000000"/>
                <w:sz w:val="21"/>
                <w:szCs w:val="21"/>
              </w:rPr>
              <w:t>0.003</w:t>
            </w:r>
          </w:p>
        </w:tc>
        <w:tc>
          <w:tcPr>
            <w:tcW w:w="1088" w:type="dxa"/>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(0.010)</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-0.005</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(0.011)</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-0.013</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(0.008)</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0.024***</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(0.008)</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0.003</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-0.013*</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(0.007)</w:t>
            </w:r>
          </w:p>
        </w:tc>
      </w:tr>
      <w:tr w:rsidR="001B0C4A" w:rsidRPr="00B54505" w:rsidTr="006D63D8">
        <w:trPr>
          <w:gridAfter w:val="2"/>
          <w:wAfter w:w="189" w:type="dxa"/>
        </w:trPr>
        <w:tc>
          <w:tcPr>
            <w:tcW w:w="2977" w:type="dxa"/>
            <w:tcBorders>
              <w:top w:val="nil"/>
              <w:bottom w:val="nil"/>
            </w:tcBorders>
            <w:shd w:val="clear" w:color="auto" w:fill="auto"/>
          </w:tcPr>
          <w:p w:rsidR="001B0C4A" w:rsidRPr="004C0D7C" w:rsidRDefault="001B0C4A" w:rsidP="009D0447">
            <w:pPr>
              <w:rPr>
                <w:sz w:val="21"/>
                <w:szCs w:val="21"/>
              </w:rPr>
            </w:pPr>
            <w:r w:rsidRPr="004C0D7C">
              <w:rPr>
                <w:rFonts w:eastAsia="Times New Roman"/>
                <w:sz w:val="21"/>
                <w:szCs w:val="21"/>
              </w:rPr>
              <w:t>Me</w:t>
            </w:r>
            <w:r>
              <w:rPr>
                <w:rFonts w:eastAsia="Times New Roman"/>
                <w:sz w:val="21"/>
                <w:szCs w:val="21"/>
              </w:rPr>
              <w:t>n</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(0.008)</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-0.010</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(0.009)</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0.009</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0.007</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(0.007)</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-0.001</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(0.006)</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(0.006)</w:t>
            </w:r>
          </w:p>
        </w:tc>
      </w:tr>
      <w:tr w:rsidR="001B0C4A" w:rsidRPr="00B54505" w:rsidTr="006D63D8">
        <w:trPr>
          <w:gridAfter w:val="2"/>
          <w:wAfter w:w="189" w:type="dxa"/>
        </w:trPr>
        <w:tc>
          <w:tcPr>
            <w:tcW w:w="2977" w:type="dxa"/>
            <w:tcBorders>
              <w:top w:val="nil"/>
              <w:left w:val="nil"/>
              <w:bottom w:val="nil"/>
              <w:right w:val="nil"/>
            </w:tcBorders>
            <w:shd w:val="clear" w:color="auto" w:fill="auto"/>
          </w:tcPr>
          <w:p w:rsidR="001B0C4A" w:rsidRPr="004C0D7C" w:rsidRDefault="001B0C4A" w:rsidP="009D0447">
            <w:pPr>
              <w:rPr>
                <w:sz w:val="21"/>
                <w:szCs w:val="21"/>
              </w:rPr>
            </w:pPr>
            <w:r w:rsidRPr="004C0D7C">
              <w:rPr>
                <w:rFonts w:eastAsia="Times New Roman"/>
                <w:sz w:val="21"/>
                <w:szCs w:val="21"/>
              </w:rPr>
              <w:t>University educated</w:t>
            </w:r>
          </w:p>
        </w:tc>
        <w:tc>
          <w:tcPr>
            <w:tcW w:w="992" w:type="dxa"/>
            <w:tcBorders>
              <w:top w:val="nil"/>
              <w:left w:val="nil"/>
              <w:bottom w:val="nil"/>
              <w:right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0.001</w:t>
            </w:r>
          </w:p>
        </w:tc>
        <w:tc>
          <w:tcPr>
            <w:tcW w:w="1088" w:type="dxa"/>
            <w:tcBorders>
              <w:top w:val="nil"/>
              <w:left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(0.009)</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0.013</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(0.009)</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-0.002</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0.008</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(0.007)</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0.000</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(0.006)</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-0.016***</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(0.006)</w:t>
            </w:r>
          </w:p>
        </w:tc>
      </w:tr>
      <w:tr w:rsidR="001B0C4A" w:rsidRPr="00B54505" w:rsidTr="006D63D8">
        <w:tc>
          <w:tcPr>
            <w:tcW w:w="2977" w:type="dxa"/>
            <w:tcBorders>
              <w:top w:val="nil"/>
              <w:left w:val="nil"/>
              <w:bottom w:val="nil"/>
              <w:right w:val="nil"/>
            </w:tcBorders>
            <w:shd w:val="clear" w:color="auto" w:fill="auto"/>
          </w:tcPr>
          <w:p w:rsidR="001B0C4A" w:rsidRPr="003819AA" w:rsidRDefault="001B0C4A" w:rsidP="009D0447">
            <w:pPr>
              <w:rPr>
                <w:sz w:val="21"/>
                <w:szCs w:val="21"/>
              </w:rPr>
            </w:pPr>
            <w:r w:rsidRPr="003819AA">
              <w:rPr>
                <w:rFonts w:eastAsia="Times New Roman"/>
                <w:sz w:val="21"/>
                <w:szCs w:val="21"/>
              </w:rPr>
              <w:t>Household income</w:t>
            </w:r>
          </w:p>
        </w:tc>
        <w:tc>
          <w:tcPr>
            <w:tcW w:w="992" w:type="dxa"/>
            <w:tcBorders>
              <w:top w:val="nil"/>
              <w:left w:val="nil"/>
              <w:bottom w:val="nil"/>
              <w:right w:val="nil"/>
            </w:tcBorders>
            <w:shd w:val="clear" w:color="auto" w:fill="auto"/>
            <w:vAlign w:val="center"/>
          </w:tcPr>
          <w:p w:rsidR="001B0C4A" w:rsidRPr="003819AA" w:rsidRDefault="001B0C4A" w:rsidP="009D0447">
            <w:pPr>
              <w:ind w:right="-113"/>
              <w:jc w:val="both"/>
              <w:rPr>
                <w:sz w:val="21"/>
                <w:szCs w:val="21"/>
              </w:rPr>
            </w:pPr>
            <w:r w:rsidRPr="003819AA">
              <w:rPr>
                <w:color w:val="000000"/>
                <w:sz w:val="21"/>
                <w:szCs w:val="21"/>
              </w:rPr>
              <w:t>3.0E-05</w:t>
            </w:r>
          </w:p>
        </w:tc>
        <w:tc>
          <w:tcPr>
            <w:tcW w:w="1088" w:type="dxa"/>
            <w:tcBorders>
              <w:top w:val="nil"/>
              <w:left w:val="nil"/>
              <w:bottom w:val="nil"/>
              <w:right w:val="nil"/>
            </w:tcBorders>
            <w:shd w:val="clear" w:color="auto" w:fill="auto"/>
            <w:vAlign w:val="center"/>
          </w:tcPr>
          <w:p w:rsidR="001B0C4A" w:rsidRPr="003819AA" w:rsidRDefault="001B0C4A" w:rsidP="009D0447">
            <w:pPr>
              <w:ind w:left="-57"/>
              <w:rPr>
                <w:sz w:val="21"/>
                <w:szCs w:val="21"/>
              </w:rPr>
            </w:pPr>
            <w:r w:rsidRPr="003819AA">
              <w:rPr>
                <w:color w:val="000000"/>
                <w:sz w:val="21"/>
                <w:szCs w:val="21"/>
              </w:rPr>
              <w:t>(9.3E-05)</w:t>
            </w:r>
          </w:p>
        </w:tc>
        <w:tc>
          <w:tcPr>
            <w:tcW w:w="898" w:type="dxa"/>
            <w:gridSpan w:val="2"/>
            <w:tcBorders>
              <w:top w:val="nil"/>
              <w:left w:val="nil"/>
              <w:bottom w:val="nil"/>
              <w:right w:val="nil"/>
            </w:tcBorders>
            <w:shd w:val="clear" w:color="auto" w:fill="auto"/>
            <w:vAlign w:val="center"/>
          </w:tcPr>
          <w:p w:rsidR="001B0C4A" w:rsidRPr="003819AA" w:rsidRDefault="001B0C4A" w:rsidP="009D0447">
            <w:pPr>
              <w:ind w:left="-57" w:right="-113"/>
              <w:rPr>
                <w:sz w:val="21"/>
                <w:szCs w:val="21"/>
              </w:rPr>
            </w:pPr>
            <w:r w:rsidRPr="003819AA">
              <w:rPr>
                <w:color w:val="000000"/>
                <w:sz w:val="21"/>
                <w:szCs w:val="21"/>
              </w:rPr>
              <w:t>-2.7E-05</w:t>
            </w:r>
          </w:p>
        </w:tc>
        <w:tc>
          <w:tcPr>
            <w:tcW w:w="946" w:type="dxa"/>
            <w:gridSpan w:val="3"/>
            <w:tcBorders>
              <w:top w:val="nil"/>
              <w:left w:val="nil"/>
              <w:bottom w:val="nil"/>
              <w:right w:val="nil"/>
            </w:tcBorders>
            <w:shd w:val="clear" w:color="auto" w:fill="auto"/>
            <w:vAlign w:val="center"/>
          </w:tcPr>
          <w:p w:rsidR="001B0C4A" w:rsidRPr="003819AA" w:rsidRDefault="001B0C4A" w:rsidP="009D0447">
            <w:pPr>
              <w:ind w:left="-113" w:right="-170"/>
              <w:rPr>
                <w:sz w:val="21"/>
                <w:szCs w:val="21"/>
              </w:rPr>
            </w:pPr>
            <w:r w:rsidRPr="003819AA">
              <w:rPr>
                <w:color w:val="000000"/>
                <w:sz w:val="21"/>
                <w:szCs w:val="21"/>
              </w:rPr>
              <w:t>(8.6E-05)</w:t>
            </w:r>
          </w:p>
        </w:tc>
        <w:tc>
          <w:tcPr>
            <w:tcW w:w="850" w:type="dxa"/>
            <w:tcBorders>
              <w:top w:val="nil"/>
              <w:left w:val="nil"/>
              <w:bottom w:val="nil"/>
              <w:right w:val="nil"/>
            </w:tcBorders>
            <w:shd w:val="clear" w:color="auto" w:fill="auto"/>
            <w:vAlign w:val="center"/>
          </w:tcPr>
          <w:p w:rsidR="001B0C4A" w:rsidRPr="003819AA" w:rsidRDefault="001B0C4A" w:rsidP="009D0447">
            <w:pPr>
              <w:ind w:left="-170" w:right="-57"/>
              <w:rPr>
                <w:sz w:val="21"/>
                <w:szCs w:val="21"/>
              </w:rPr>
            </w:pPr>
            <w:r>
              <w:rPr>
                <w:sz w:val="21"/>
                <w:szCs w:val="21"/>
              </w:rPr>
              <w:t xml:space="preserve"> </w:t>
            </w:r>
            <w:r w:rsidRPr="003819AA">
              <w:rPr>
                <w:sz w:val="21"/>
                <w:szCs w:val="21"/>
              </w:rPr>
              <w:t>1.7E-05</w:t>
            </w:r>
          </w:p>
        </w:tc>
        <w:tc>
          <w:tcPr>
            <w:tcW w:w="896" w:type="dxa"/>
            <w:tcBorders>
              <w:top w:val="nil"/>
              <w:left w:val="nil"/>
              <w:bottom w:val="nil"/>
              <w:right w:val="nil"/>
            </w:tcBorders>
            <w:shd w:val="clear" w:color="auto" w:fill="auto"/>
            <w:vAlign w:val="center"/>
          </w:tcPr>
          <w:p w:rsidR="001B0C4A" w:rsidRPr="003819AA" w:rsidRDefault="001B0C4A" w:rsidP="009D0447">
            <w:pPr>
              <w:ind w:left="-113" w:right="-170"/>
              <w:rPr>
                <w:sz w:val="21"/>
                <w:szCs w:val="21"/>
              </w:rPr>
            </w:pPr>
            <w:r w:rsidRPr="003819AA">
              <w:rPr>
                <w:color w:val="000000"/>
                <w:sz w:val="21"/>
                <w:szCs w:val="21"/>
              </w:rPr>
              <w:t>(6.8E-05)</w:t>
            </w:r>
          </w:p>
        </w:tc>
        <w:tc>
          <w:tcPr>
            <w:tcW w:w="898" w:type="dxa"/>
            <w:gridSpan w:val="3"/>
            <w:tcBorders>
              <w:top w:val="nil"/>
              <w:left w:val="nil"/>
              <w:bottom w:val="nil"/>
              <w:right w:val="nil"/>
            </w:tcBorders>
            <w:shd w:val="clear" w:color="auto" w:fill="auto"/>
            <w:vAlign w:val="center"/>
          </w:tcPr>
          <w:p w:rsidR="001B0C4A" w:rsidRPr="003819AA" w:rsidRDefault="001B0C4A" w:rsidP="009D0447">
            <w:pPr>
              <w:ind w:left="-57" w:right="-113"/>
              <w:rPr>
                <w:sz w:val="21"/>
                <w:szCs w:val="21"/>
              </w:rPr>
            </w:pPr>
            <w:r w:rsidRPr="003819AA">
              <w:rPr>
                <w:sz w:val="21"/>
                <w:szCs w:val="21"/>
              </w:rPr>
              <w:t>-3.3E-06</w:t>
            </w:r>
          </w:p>
        </w:tc>
        <w:tc>
          <w:tcPr>
            <w:tcW w:w="946" w:type="dxa"/>
            <w:gridSpan w:val="2"/>
            <w:tcBorders>
              <w:top w:val="nil"/>
              <w:left w:val="nil"/>
              <w:bottom w:val="nil"/>
              <w:right w:val="nil"/>
            </w:tcBorders>
            <w:shd w:val="clear" w:color="auto" w:fill="auto"/>
            <w:vAlign w:val="center"/>
          </w:tcPr>
          <w:p w:rsidR="001B0C4A" w:rsidRPr="003819AA" w:rsidRDefault="001B0C4A" w:rsidP="009D0447">
            <w:pPr>
              <w:ind w:left="-57" w:right="-113"/>
              <w:rPr>
                <w:sz w:val="21"/>
                <w:szCs w:val="21"/>
              </w:rPr>
            </w:pPr>
            <w:r w:rsidRPr="003819AA">
              <w:rPr>
                <w:color w:val="000000"/>
                <w:sz w:val="21"/>
                <w:szCs w:val="21"/>
              </w:rPr>
              <w:t>(6.6E-05)</w:t>
            </w:r>
          </w:p>
        </w:tc>
        <w:tc>
          <w:tcPr>
            <w:tcW w:w="803" w:type="dxa"/>
            <w:gridSpan w:val="3"/>
            <w:tcBorders>
              <w:top w:val="nil"/>
              <w:left w:val="nil"/>
              <w:bottom w:val="nil"/>
              <w:right w:val="nil"/>
            </w:tcBorders>
            <w:shd w:val="clear" w:color="auto" w:fill="auto"/>
            <w:vAlign w:val="center"/>
          </w:tcPr>
          <w:p w:rsidR="001B0C4A" w:rsidRPr="003819AA" w:rsidRDefault="001B0C4A" w:rsidP="009D0447">
            <w:pPr>
              <w:ind w:left="-113" w:right="-113"/>
              <w:rPr>
                <w:sz w:val="21"/>
                <w:szCs w:val="21"/>
              </w:rPr>
            </w:pPr>
            <w:r w:rsidRPr="003819AA">
              <w:rPr>
                <w:sz w:val="21"/>
                <w:szCs w:val="21"/>
              </w:rPr>
              <w:t>4.3E-05</w:t>
            </w:r>
          </w:p>
        </w:tc>
        <w:tc>
          <w:tcPr>
            <w:tcW w:w="992" w:type="dxa"/>
            <w:gridSpan w:val="2"/>
            <w:tcBorders>
              <w:top w:val="nil"/>
              <w:left w:val="nil"/>
              <w:bottom w:val="nil"/>
              <w:right w:val="nil"/>
            </w:tcBorders>
            <w:shd w:val="clear" w:color="auto" w:fill="auto"/>
            <w:vAlign w:val="center"/>
          </w:tcPr>
          <w:p w:rsidR="001B0C4A" w:rsidRPr="003819AA" w:rsidRDefault="001B0C4A" w:rsidP="009D0447">
            <w:pPr>
              <w:ind w:left="-57" w:right="-113"/>
              <w:rPr>
                <w:sz w:val="21"/>
                <w:szCs w:val="21"/>
              </w:rPr>
            </w:pPr>
            <w:r w:rsidRPr="003819AA">
              <w:rPr>
                <w:color w:val="000000"/>
                <w:sz w:val="21"/>
                <w:szCs w:val="21"/>
              </w:rPr>
              <w:t>(6.0E-05)</w:t>
            </w:r>
          </w:p>
        </w:tc>
        <w:tc>
          <w:tcPr>
            <w:tcW w:w="946" w:type="dxa"/>
            <w:gridSpan w:val="4"/>
            <w:tcBorders>
              <w:top w:val="nil"/>
              <w:left w:val="nil"/>
              <w:bottom w:val="nil"/>
              <w:right w:val="nil"/>
            </w:tcBorders>
            <w:shd w:val="clear" w:color="auto" w:fill="auto"/>
            <w:vAlign w:val="center"/>
          </w:tcPr>
          <w:p w:rsidR="001B0C4A" w:rsidRPr="003819AA" w:rsidRDefault="001B0C4A" w:rsidP="009D0447">
            <w:pPr>
              <w:ind w:left="-57" w:right="-113"/>
              <w:rPr>
                <w:sz w:val="21"/>
                <w:szCs w:val="21"/>
              </w:rPr>
            </w:pPr>
            <w:r>
              <w:rPr>
                <w:sz w:val="21"/>
                <w:szCs w:val="21"/>
              </w:rPr>
              <w:t xml:space="preserve"> </w:t>
            </w:r>
            <w:r w:rsidRPr="003819AA">
              <w:rPr>
                <w:sz w:val="21"/>
                <w:szCs w:val="21"/>
              </w:rPr>
              <w:t>2.6E-05</w:t>
            </w:r>
          </w:p>
        </w:tc>
        <w:tc>
          <w:tcPr>
            <w:tcW w:w="1045" w:type="dxa"/>
            <w:gridSpan w:val="3"/>
            <w:tcBorders>
              <w:top w:val="nil"/>
              <w:left w:val="nil"/>
              <w:bottom w:val="nil"/>
              <w:right w:val="nil"/>
            </w:tcBorders>
            <w:shd w:val="clear" w:color="auto" w:fill="auto"/>
            <w:vAlign w:val="center"/>
          </w:tcPr>
          <w:p w:rsidR="001B0C4A" w:rsidRPr="003819AA" w:rsidRDefault="001B0C4A" w:rsidP="009D0447">
            <w:pPr>
              <w:ind w:left="-113"/>
              <w:rPr>
                <w:color w:val="000000"/>
                <w:sz w:val="21"/>
                <w:szCs w:val="21"/>
              </w:rPr>
            </w:pPr>
            <w:r w:rsidRPr="003819AA">
              <w:rPr>
                <w:color w:val="000000"/>
                <w:sz w:val="21"/>
                <w:szCs w:val="21"/>
              </w:rPr>
              <w:t>(6.7E-05)</w:t>
            </w:r>
          </w:p>
        </w:tc>
      </w:tr>
      <w:tr w:rsidR="001B0C4A" w:rsidRPr="00B54505" w:rsidTr="006D63D8">
        <w:trPr>
          <w:gridAfter w:val="2"/>
          <w:wAfter w:w="189" w:type="dxa"/>
        </w:trPr>
        <w:tc>
          <w:tcPr>
            <w:tcW w:w="2977" w:type="dxa"/>
            <w:tcBorders>
              <w:top w:val="nil"/>
              <w:bottom w:val="nil"/>
            </w:tcBorders>
            <w:shd w:val="clear" w:color="auto" w:fill="auto"/>
          </w:tcPr>
          <w:p w:rsidR="001B0C4A" w:rsidRPr="004C0D7C" w:rsidRDefault="001B0C4A" w:rsidP="009D0447">
            <w:pPr>
              <w:rPr>
                <w:color w:val="000000"/>
                <w:sz w:val="21"/>
                <w:szCs w:val="21"/>
              </w:rPr>
            </w:pPr>
            <w:r w:rsidRPr="004C0D7C">
              <w:rPr>
                <w:rFonts w:eastAsia="Times New Roman"/>
                <w:sz w:val="21"/>
                <w:szCs w:val="21"/>
              </w:rPr>
              <w:t>Household residents</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0.005</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(0.004)</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(0.004)</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-0.005*</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(0.003)</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0.003</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-0.001</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(0.003)</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0.001</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(0.003)</w:t>
            </w:r>
          </w:p>
        </w:tc>
      </w:tr>
      <w:tr w:rsidR="001B0C4A" w:rsidRPr="00B54505" w:rsidTr="006D63D8">
        <w:trPr>
          <w:gridAfter w:val="2"/>
          <w:wAfter w:w="189" w:type="dxa"/>
        </w:trPr>
        <w:tc>
          <w:tcPr>
            <w:tcW w:w="2977" w:type="dxa"/>
            <w:tcBorders>
              <w:top w:val="nil"/>
              <w:bottom w:val="nil"/>
            </w:tcBorders>
            <w:shd w:val="clear" w:color="auto" w:fill="auto"/>
          </w:tcPr>
          <w:p w:rsidR="001B0C4A" w:rsidRPr="004C0D7C" w:rsidRDefault="001B0C4A" w:rsidP="009D0447">
            <w:pPr>
              <w:rPr>
                <w:sz w:val="21"/>
                <w:szCs w:val="21"/>
              </w:rPr>
            </w:pPr>
            <w:r w:rsidRPr="004C0D7C">
              <w:rPr>
                <w:rFonts w:eastAsia="Times New Roman"/>
                <w:sz w:val="21"/>
                <w:szCs w:val="21"/>
              </w:rPr>
              <w:t>Employed energy industry</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-0.007</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(0.014)</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0.020</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(0.018)</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-0.024**</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(0.011)</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-0.002</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(0.011)</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0.007</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(0.012)</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0.006</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(0.011)</w:t>
            </w:r>
          </w:p>
        </w:tc>
      </w:tr>
      <w:tr w:rsidR="001B0C4A" w:rsidRPr="00B54505" w:rsidTr="006D63D8">
        <w:trPr>
          <w:gridAfter w:val="2"/>
          <w:wAfter w:w="189" w:type="dxa"/>
        </w:trPr>
        <w:tc>
          <w:tcPr>
            <w:tcW w:w="2977" w:type="dxa"/>
            <w:tcBorders>
              <w:top w:val="nil"/>
              <w:bottom w:val="nil"/>
            </w:tcBorders>
            <w:shd w:val="clear" w:color="auto" w:fill="auto"/>
          </w:tcPr>
          <w:p w:rsidR="001B0C4A" w:rsidRPr="004C0D7C" w:rsidRDefault="001B0C4A" w:rsidP="009D0447">
            <w:pPr>
              <w:rPr>
                <w:sz w:val="21"/>
                <w:szCs w:val="21"/>
              </w:rPr>
            </w:pPr>
            <w:r w:rsidRPr="004C0D7C">
              <w:rPr>
                <w:rFonts w:eastAsia="Times New Roman"/>
                <w:sz w:val="21"/>
                <w:szCs w:val="21"/>
              </w:rPr>
              <w:t>Unemployed</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0.003</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(0.018)</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0.000</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(0.017)</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-0.005</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(0.012)</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0.013</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(0.015)</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-0.011</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(0.012)</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0.001</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(0.012)</w:t>
            </w:r>
          </w:p>
        </w:tc>
      </w:tr>
      <w:tr w:rsidR="001B0C4A" w:rsidRPr="00B54505" w:rsidTr="006D63D8">
        <w:trPr>
          <w:gridAfter w:val="2"/>
          <w:wAfter w:w="189" w:type="dxa"/>
        </w:trPr>
        <w:tc>
          <w:tcPr>
            <w:tcW w:w="2977" w:type="dxa"/>
            <w:tcBorders>
              <w:top w:val="nil"/>
              <w:bottom w:val="nil"/>
            </w:tcBorders>
            <w:shd w:val="clear" w:color="auto" w:fill="auto"/>
            <w:vAlign w:val="center"/>
          </w:tcPr>
          <w:p w:rsidR="001B0C4A" w:rsidRPr="004C0D7C" w:rsidRDefault="001B0C4A" w:rsidP="009D0447">
            <w:pPr>
              <w:rPr>
                <w:rFonts w:eastAsia="Times New Roman"/>
                <w:sz w:val="21"/>
                <w:szCs w:val="21"/>
              </w:rPr>
            </w:pPr>
            <w:r w:rsidRPr="004C0D7C">
              <w:rPr>
                <w:rFonts w:eastAsia="Times New Roman"/>
                <w:sz w:val="21"/>
                <w:szCs w:val="21"/>
              </w:rPr>
              <w:t xml:space="preserve">Low socio-economic </w:t>
            </w:r>
            <w:r>
              <w:rPr>
                <w:rFonts w:eastAsia="Times New Roman"/>
                <w:sz w:val="21"/>
                <w:szCs w:val="21"/>
              </w:rPr>
              <w:t>region</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0.011</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(0.010)</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-0.021**</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(0.010)</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0.009</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(0.008)</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0.004</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(0.008)</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0.000</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(0.008)</w:t>
            </w:r>
          </w:p>
        </w:tc>
      </w:tr>
      <w:tr w:rsidR="001B0C4A" w:rsidRPr="00B54505" w:rsidTr="006D63D8">
        <w:trPr>
          <w:gridAfter w:val="2"/>
          <w:wAfter w:w="189" w:type="dxa"/>
        </w:trPr>
        <w:tc>
          <w:tcPr>
            <w:tcW w:w="2977" w:type="dxa"/>
            <w:tcBorders>
              <w:top w:val="nil"/>
              <w:bottom w:val="nil"/>
            </w:tcBorders>
            <w:shd w:val="clear" w:color="auto" w:fill="auto"/>
            <w:vAlign w:val="center"/>
          </w:tcPr>
          <w:p w:rsidR="001B0C4A" w:rsidRPr="004C0D7C" w:rsidRDefault="001B0C4A" w:rsidP="009D0447">
            <w:pPr>
              <w:rPr>
                <w:rFonts w:eastAsia="Times New Roman"/>
                <w:sz w:val="21"/>
                <w:szCs w:val="21"/>
              </w:rPr>
            </w:pPr>
            <w:r w:rsidRPr="004C0D7C">
              <w:rPr>
                <w:rFonts w:eastAsia="Times New Roman"/>
                <w:sz w:val="21"/>
                <w:szCs w:val="21"/>
              </w:rPr>
              <w:t>Confidence in government decisions</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-0.005</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(0.008)</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-0.036***</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(0.008)</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(0.006)</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0.011*</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(0.006)</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0.012**</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(0.005)</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0.020***</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(0.006)</w:t>
            </w:r>
          </w:p>
        </w:tc>
      </w:tr>
      <w:tr w:rsidR="001B0C4A" w:rsidRPr="00B54505" w:rsidTr="006D63D8">
        <w:trPr>
          <w:gridAfter w:val="2"/>
          <w:wAfter w:w="189" w:type="dxa"/>
        </w:trPr>
        <w:tc>
          <w:tcPr>
            <w:tcW w:w="2977" w:type="dxa"/>
            <w:tcBorders>
              <w:top w:val="nil"/>
              <w:bottom w:val="nil"/>
            </w:tcBorders>
            <w:shd w:val="clear" w:color="auto" w:fill="auto"/>
            <w:vAlign w:val="center"/>
          </w:tcPr>
          <w:p w:rsidR="001B0C4A" w:rsidRPr="004C0D7C" w:rsidRDefault="001B0C4A" w:rsidP="009D0447">
            <w:pPr>
              <w:rPr>
                <w:rFonts w:eastAsia="Times New Roman"/>
                <w:sz w:val="21"/>
                <w:szCs w:val="21"/>
              </w:rPr>
            </w:pPr>
            <w:r w:rsidRPr="004C0D7C">
              <w:rPr>
                <w:rFonts w:eastAsia="Times New Roman"/>
                <w:sz w:val="21"/>
                <w:szCs w:val="21"/>
              </w:rPr>
              <w:t>Climate change is happening</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-0.003</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(0.014)</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0.048***</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(0.014)</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-0.018</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(0.010)</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-0.004</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(0.010)</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-0.006</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(0.010)</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-0.017</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(0.010)</w:t>
            </w:r>
          </w:p>
        </w:tc>
      </w:tr>
      <w:tr w:rsidR="001B0C4A" w:rsidRPr="00B54505" w:rsidTr="006D63D8">
        <w:trPr>
          <w:gridAfter w:val="2"/>
          <w:wAfter w:w="189" w:type="dxa"/>
        </w:trPr>
        <w:tc>
          <w:tcPr>
            <w:tcW w:w="2977" w:type="dxa"/>
            <w:tcBorders>
              <w:top w:val="nil"/>
              <w:bottom w:val="nil"/>
            </w:tcBorders>
            <w:shd w:val="clear" w:color="auto" w:fill="auto"/>
            <w:vAlign w:val="center"/>
          </w:tcPr>
          <w:p w:rsidR="001B0C4A" w:rsidRPr="004C0D7C" w:rsidRDefault="001B0C4A" w:rsidP="009D0447">
            <w:pPr>
              <w:rPr>
                <w:rFonts w:eastAsia="Times New Roman"/>
                <w:sz w:val="21"/>
                <w:szCs w:val="21"/>
              </w:rPr>
            </w:pPr>
            <w:r w:rsidRPr="004C0D7C">
              <w:rPr>
                <w:rFonts w:eastAsia="Times New Roman"/>
                <w:sz w:val="21"/>
                <w:szCs w:val="21"/>
              </w:rPr>
              <w:t>Climate change is largely human induced</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0.003</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(0.011)</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0.047***</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(0.011)</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-0.023***</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(0.008)</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-0.006</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(0.008)</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-0.009</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-0.011</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(0.008)</w:t>
            </w:r>
          </w:p>
        </w:tc>
      </w:tr>
      <w:tr w:rsidR="001B0C4A" w:rsidRPr="00B54505" w:rsidTr="006D63D8">
        <w:trPr>
          <w:gridAfter w:val="2"/>
          <w:wAfter w:w="189" w:type="dxa"/>
        </w:trPr>
        <w:tc>
          <w:tcPr>
            <w:tcW w:w="2977" w:type="dxa"/>
            <w:tcBorders>
              <w:top w:val="nil"/>
              <w:bottom w:val="nil"/>
            </w:tcBorders>
            <w:shd w:val="clear" w:color="auto" w:fill="auto"/>
            <w:vAlign w:val="center"/>
          </w:tcPr>
          <w:p w:rsidR="001B0C4A" w:rsidRPr="004C0D7C" w:rsidRDefault="001B0C4A" w:rsidP="009D0447">
            <w:pPr>
              <w:rPr>
                <w:rFonts w:eastAsia="Times New Roman"/>
                <w:sz w:val="21"/>
                <w:szCs w:val="21"/>
              </w:rPr>
            </w:pPr>
            <w:r w:rsidRPr="004C0D7C">
              <w:rPr>
                <w:rFonts w:eastAsia="Times New Roman"/>
                <w:sz w:val="21"/>
                <w:szCs w:val="21"/>
              </w:rPr>
              <w:t>Climate change will have negative impact</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-0.025***</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(0.009)</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0.030***</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(0.009)</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0.001</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-0.005</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(0.007)</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0.004</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(0.006)</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-0.005</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(0.006)</w:t>
            </w:r>
          </w:p>
        </w:tc>
      </w:tr>
      <w:tr w:rsidR="001B0C4A" w:rsidRPr="00B54505" w:rsidTr="006D63D8">
        <w:trPr>
          <w:gridAfter w:val="2"/>
          <w:wAfter w:w="189" w:type="dxa"/>
        </w:trPr>
        <w:tc>
          <w:tcPr>
            <w:tcW w:w="2977" w:type="dxa"/>
            <w:tcBorders>
              <w:top w:val="nil"/>
              <w:bottom w:val="nil"/>
            </w:tcBorders>
            <w:shd w:val="clear" w:color="auto" w:fill="auto"/>
            <w:vAlign w:val="center"/>
          </w:tcPr>
          <w:p w:rsidR="001B0C4A" w:rsidRPr="004C0D7C" w:rsidRDefault="001B0C4A" w:rsidP="009D0447">
            <w:pPr>
              <w:rPr>
                <w:rFonts w:eastAsia="Times New Roman"/>
                <w:sz w:val="21"/>
                <w:szCs w:val="21"/>
                <w:highlight w:val="yellow"/>
              </w:rPr>
            </w:pPr>
            <w:r w:rsidRPr="004C0D7C">
              <w:rPr>
                <w:rFonts w:eastAsia="Times New Roman"/>
                <w:sz w:val="21"/>
                <w:szCs w:val="21"/>
              </w:rPr>
              <w:t>Pro-environmental trade-offs</w:t>
            </w:r>
          </w:p>
        </w:tc>
        <w:tc>
          <w:tcPr>
            <w:tcW w:w="992" w:type="dxa"/>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-0.000</w:t>
            </w:r>
          </w:p>
        </w:tc>
        <w:tc>
          <w:tcPr>
            <w:tcW w:w="108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0.058***</w:t>
            </w:r>
          </w:p>
        </w:tc>
        <w:tc>
          <w:tcPr>
            <w:tcW w:w="898" w:type="dxa"/>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(0.007)</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-0.025</w:t>
            </w:r>
          </w:p>
        </w:tc>
        <w:tc>
          <w:tcPr>
            <w:tcW w:w="950"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(0.006)</w:t>
            </w:r>
          </w:p>
        </w:tc>
        <w:tc>
          <w:tcPr>
            <w:tcW w:w="898"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-0.015***</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(0.005)</w:t>
            </w:r>
          </w:p>
        </w:tc>
        <w:tc>
          <w:tcPr>
            <w:tcW w:w="897" w:type="dxa"/>
            <w:gridSpan w:val="3"/>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-0.004</w:t>
            </w:r>
          </w:p>
        </w:tc>
        <w:tc>
          <w:tcPr>
            <w:tcW w:w="898" w:type="dxa"/>
            <w:gridSpan w:val="2"/>
            <w:tcBorders>
              <w:top w:val="nil"/>
              <w:bottom w:val="nil"/>
            </w:tcBorders>
            <w:shd w:val="clear" w:color="auto" w:fill="auto"/>
            <w:vAlign w:val="center"/>
          </w:tcPr>
          <w:p w:rsidR="001B0C4A" w:rsidRPr="004C0D7C" w:rsidRDefault="001B0C4A" w:rsidP="009D0447">
            <w:pPr>
              <w:ind w:left="-57"/>
              <w:rPr>
                <w:sz w:val="21"/>
                <w:szCs w:val="21"/>
              </w:rPr>
            </w:pPr>
            <w:r w:rsidRPr="004C0D7C">
              <w:rPr>
                <w:color w:val="000000"/>
                <w:sz w:val="21"/>
                <w:szCs w:val="21"/>
              </w:rPr>
              <w:t>(0.004)</w:t>
            </w:r>
          </w:p>
        </w:tc>
        <w:tc>
          <w:tcPr>
            <w:tcW w:w="898" w:type="dxa"/>
            <w:gridSpan w:val="2"/>
            <w:tcBorders>
              <w:top w:val="nil"/>
              <w:bottom w:val="nil"/>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-0.015***</w:t>
            </w: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(0.005)</w:t>
            </w:r>
          </w:p>
        </w:tc>
      </w:tr>
      <w:tr w:rsidR="001B0C4A" w:rsidRPr="00B54505" w:rsidTr="006D63D8">
        <w:trPr>
          <w:gridAfter w:val="2"/>
          <w:wAfter w:w="189" w:type="dxa"/>
        </w:trPr>
        <w:tc>
          <w:tcPr>
            <w:tcW w:w="2977" w:type="dxa"/>
            <w:tcBorders>
              <w:top w:val="nil"/>
              <w:bottom w:val="single" w:sz="4" w:space="0" w:color="auto"/>
            </w:tcBorders>
            <w:shd w:val="clear" w:color="auto" w:fill="auto"/>
            <w:vAlign w:val="center"/>
          </w:tcPr>
          <w:p w:rsidR="001B0C4A" w:rsidRPr="004C0D7C" w:rsidRDefault="001B0C4A" w:rsidP="009D0447">
            <w:pPr>
              <w:rPr>
                <w:rFonts w:eastAsia="Times New Roman"/>
                <w:sz w:val="21"/>
                <w:szCs w:val="21"/>
              </w:rPr>
            </w:pPr>
            <w:r w:rsidRPr="004C0D7C">
              <w:rPr>
                <w:rFonts w:eastAsia="Times New Roman"/>
                <w:sz w:val="21"/>
                <w:szCs w:val="21"/>
              </w:rPr>
              <w:t>Knowledge of hydrogen industry</w:t>
            </w:r>
          </w:p>
        </w:tc>
        <w:tc>
          <w:tcPr>
            <w:tcW w:w="992" w:type="dxa"/>
            <w:tcBorders>
              <w:top w:val="nil"/>
              <w:bottom w:val="single" w:sz="4" w:space="0" w:color="auto"/>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-0.006***</w:t>
            </w:r>
          </w:p>
        </w:tc>
        <w:tc>
          <w:tcPr>
            <w:tcW w:w="1088" w:type="dxa"/>
            <w:tcBorders>
              <w:top w:val="nil"/>
              <w:bottom w:val="single" w:sz="4" w:space="0" w:color="auto"/>
            </w:tcBorders>
            <w:shd w:val="clear" w:color="auto" w:fill="auto"/>
            <w:vAlign w:val="center"/>
          </w:tcPr>
          <w:p w:rsidR="001B0C4A" w:rsidRPr="004C0D7C" w:rsidRDefault="001B0C4A" w:rsidP="009D0447">
            <w:pPr>
              <w:ind w:left="-57"/>
              <w:rPr>
                <w:sz w:val="21"/>
                <w:szCs w:val="21"/>
              </w:rPr>
            </w:pPr>
            <w:r w:rsidRPr="004C0D7C">
              <w:rPr>
                <w:color w:val="000000"/>
                <w:sz w:val="21"/>
                <w:szCs w:val="21"/>
              </w:rPr>
              <w:t>(0.002)</w:t>
            </w:r>
          </w:p>
        </w:tc>
        <w:tc>
          <w:tcPr>
            <w:tcW w:w="898" w:type="dxa"/>
            <w:gridSpan w:val="2"/>
            <w:tcBorders>
              <w:top w:val="nil"/>
              <w:bottom w:val="single" w:sz="4" w:space="0" w:color="auto"/>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-0.001</w:t>
            </w:r>
          </w:p>
        </w:tc>
        <w:tc>
          <w:tcPr>
            <w:tcW w:w="898" w:type="dxa"/>
            <w:tcBorders>
              <w:top w:val="nil"/>
              <w:bottom w:val="single" w:sz="4" w:space="0" w:color="auto"/>
            </w:tcBorders>
            <w:shd w:val="clear" w:color="auto" w:fill="auto"/>
            <w:vAlign w:val="center"/>
          </w:tcPr>
          <w:p w:rsidR="001B0C4A" w:rsidRPr="004C0D7C" w:rsidRDefault="001B0C4A" w:rsidP="009D0447">
            <w:pPr>
              <w:ind w:left="-57"/>
              <w:rPr>
                <w:sz w:val="21"/>
                <w:szCs w:val="21"/>
              </w:rPr>
            </w:pPr>
            <w:r w:rsidRPr="004C0D7C">
              <w:rPr>
                <w:color w:val="000000"/>
                <w:sz w:val="21"/>
                <w:szCs w:val="21"/>
              </w:rPr>
              <w:t>(0.002)</w:t>
            </w:r>
          </w:p>
        </w:tc>
        <w:tc>
          <w:tcPr>
            <w:tcW w:w="898" w:type="dxa"/>
            <w:gridSpan w:val="3"/>
            <w:tcBorders>
              <w:top w:val="nil"/>
              <w:bottom w:val="single" w:sz="4" w:space="0" w:color="auto"/>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0.001</w:t>
            </w:r>
          </w:p>
        </w:tc>
        <w:tc>
          <w:tcPr>
            <w:tcW w:w="950" w:type="dxa"/>
            <w:gridSpan w:val="2"/>
            <w:tcBorders>
              <w:top w:val="nil"/>
              <w:bottom w:val="single" w:sz="4" w:space="0" w:color="auto"/>
            </w:tcBorders>
            <w:shd w:val="clear" w:color="auto" w:fill="auto"/>
            <w:vAlign w:val="center"/>
          </w:tcPr>
          <w:p w:rsidR="001B0C4A" w:rsidRPr="004C0D7C" w:rsidRDefault="001B0C4A" w:rsidP="009D0447">
            <w:pPr>
              <w:ind w:left="-57"/>
              <w:rPr>
                <w:sz w:val="21"/>
                <w:szCs w:val="21"/>
              </w:rPr>
            </w:pPr>
            <w:r w:rsidRPr="004C0D7C">
              <w:rPr>
                <w:color w:val="000000"/>
                <w:sz w:val="21"/>
                <w:szCs w:val="21"/>
              </w:rPr>
              <w:t>(0.001)</w:t>
            </w:r>
          </w:p>
        </w:tc>
        <w:tc>
          <w:tcPr>
            <w:tcW w:w="898" w:type="dxa"/>
            <w:gridSpan w:val="3"/>
            <w:tcBorders>
              <w:top w:val="nil"/>
              <w:bottom w:val="single" w:sz="4" w:space="0" w:color="auto"/>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0.002*</w:t>
            </w:r>
          </w:p>
        </w:tc>
        <w:tc>
          <w:tcPr>
            <w:tcW w:w="898" w:type="dxa"/>
            <w:gridSpan w:val="2"/>
            <w:tcBorders>
              <w:top w:val="nil"/>
              <w:bottom w:val="single" w:sz="4" w:space="0" w:color="auto"/>
            </w:tcBorders>
            <w:shd w:val="clear" w:color="auto" w:fill="auto"/>
            <w:vAlign w:val="center"/>
          </w:tcPr>
          <w:p w:rsidR="001B0C4A" w:rsidRPr="004C0D7C" w:rsidRDefault="001B0C4A" w:rsidP="009D0447">
            <w:pPr>
              <w:ind w:left="-57" w:right="-113"/>
              <w:rPr>
                <w:sz w:val="21"/>
                <w:szCs w:val="21"/>
              </w:rPr>
            </w:pPr>
            <w:r w:rsidRPr="004C0D7C">
              <w:rPr>
                <w:color w:val="000000"/>
                <w:sz w:val="21"/>
                <w:szCs w:val="21"/>
              </w:rPr>
              <w:t>(0.001)</w:t>
            </w:r>
          </w:p>
        </w:tc>
        <w:tc>
          <w:tcPr>
            <w:tcW w:w="897" w:type="dxa"/>
            <w:gridSpan w:val="3"/>
            <w:tcBorders>
              <w:top w:val="nil"/>
              <w:bottom w:val="single" w:sz="4" w:space="0" w:color="auto"/>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0.004***</w:t>
            </w:r>
          </w:p>
        </w:tc>
        <w:tc>
          <w:tcPr>
            <w:tcW w:w="898" w:type="dxa"/>
            <w:gridSpan w:val="2"/>
            <w:tcBorders>
              <w:top w:val="nil"/>
              <w:bottom w:val="single" w:sz="4" w:space="0" w:color="auto"/>
            </w:tcBorders>
            <w:shd w:val="clear" w:color="auto" w:fill="auto"/>
            <w:vAlign w:val="center"/>
          </w:tcPr>
          <w:p w:rsidR="001B0C4A" w:rsidRPr="004C0D7C" w:rsidRDefault="001B0C4A" w:rsidP="009D0447">
            <w:pPr>
              <w:ind w:left="-57"/>
              <w:rPr>
                <w:sz w:val="21"/>
                <w:szCs w:val="21"/>
              </w:rPr>
            </w:pPr>
            <w:r w:rsidRPr="004C0D7C">
              <w:rPr>
                <w:color w:val="000000"/>
                <w:sz w:val="21"/>
                <w:szCs w:val="21"/>
              </w:rPr>
              <w:t>(0.001)</w:t>
            </w:r>
          </w:p>
        </w:tc>
        <w:tc>
          <w:tcPr>
            <w:tcW w:w="898" w:type="dxa"/>
            <w:gridSpan w:val="2"/>
            <w:tcBorders>
              <w:top w:val="nil"/>
              <w:bottom w:val="single" w:sz="4" w:space="0" w:color="auto"/>
            </w:tcBorders>
            <w:shd w:val="clear" w:color="auto" w:fill="auto"/>
            <w:vAlign w:val="center"/>
          </w:tcPr>
          <w:p w:rsidR="001B0C4A" w:rsidRPr="004C0D7C" w:rsidRDefault="001B0C4A" w:rsidP="009D0447">
            <w:pPr>
              <w:ind w:left="-57" w:right="-113"/>
              <w:rPr>
                <w:sz w:val="21"/>
                <w:szCs w:val="21"/>
              </w:rPr>
            </w:pPr>
            <w:r>
              <w:rPr>
                <w:color w:val="000000"/>
                <w:sz w:val="21"/>
                <w:szCs w:val="21"/>
              </w:rPr>
              <w:t xml:space="preserve"> </w:t>
            </w:r>
            <w:r w:rsidRPr="004C0D7C">
              <w:rPr>
                <w:color w:val="000000"/>
                <w:sz w:val="21"/>
                <w:szCs w:val="21"/>
              </w:rPr>
              <w:t>0.000</w:t>
            </w:r>
          </w:p>
        </w:tc>
        <w:tc>
          <w:tcPr>
            <w:tcW w:w="898" w:type="dxa"/>
            <w:gridSpan w:val="2"/>
            <w:tcBorders>
              <w:top w:val="nil"/>
              <w:bottom w:val="single" w:sz="4" w:space="0" w:color="auto"/>
            </w:tcBorders>
            <w:shd w:val="clear" w:color="auto" w:fill="auto"/>
            <w:vAlign w:val="center"/>
          </w:tcPr>
          <w:p w:rsidR="001B0C4A" w:rsidRPr="004C0D7C" w:rsidRDefault="001B0C4A" w:rsidP="009D0447">
            <w:pPr>
              <w:ind w:left="-57"/>
              <w:rPr>
                <w:color w:val="000000"/>
                <w:sz w:val="21"/>
                <w:szCs w:val="21"/>
              </w:rPr>
            </w:pPr>
            <w:r w:rsidRPr="004C0D7C">
              <w:rPr>
                <w:color w:val="000000"/>
                <w:sz w:val="21"/>
                <w:szCs w:val="21"/>
              </w:rPr>
              <w:t>(0.001)</w:t>
            </w:r>
          </w:p>
        </w:tc>
      </w:tr>
      <w:tr w:rsidR="001B0C4A" w:rsidRPr="00B54505" w:rsidTr="006D63D8">
        <w:trPr>
          <w:gridAfter w:val="2"/>
          <w:wAfter w:w="189" w:type="dxa"/>
        </w:trPr>
        <w:tc>
          <w:tcPr>
            <w:tcW w:w="2977" w:type="dxa"/>
            <w:tcBorders>
              <w:left w:val="nil"/>
              <w:bottom w:val="nil"/>
              <w:right w:val="nil"/>
            </w:tcBorders>
            <w:shd w:val="clear" w:color="auto" w:fill="auto"/>
          </w:tcPr>
          <w:p w:rsidR="001B0C4A" w:rsidRPr="004C0D7C" w:rsidRDefault="001B0C4A" w:rsidP="009D0447">
            <w:pPr>
              <w:rPr>
                <w:rFonts w:eastAsia="Times New Roman"/>
                <w:sz w:val="21"/>
                <w:szCs w:val="21"/>
              </w:rPr>
            </w:pPr>
            <w:r w:rsidRPr="009908BC">
              <w:rPr>
                <w:rFonts w:eastAsia="Times New Roman"/>
                <w:sz w:val="21"/>
                <w:szCs w:val="21"/>
              </w:rPr>
              <w:t>Number of observations</w:t>
            </w:r>
          </w:p>
        </w:tc>
        <w:tc>
          <w:tcPr>
            <w:tcW w:w="992" w:type="dxa"/>
            <w:tcBorders>
              <w:left w:val="nil"/>
              <w:bottom w:val="nil"/>
              <w:right w:val="nil"/>
            </w:tcBorders>
            <w:shd w:val="clear" w:color="auto" w:fill="auto"/>
          </w:tcPr>
          <w:p w:rsidR="001B0C4A" w:rsidRPr="004C0D7C" w:rsidRDefault="001B0C4A" w:rsidP="009D0447">
            <w:pPr>
              <w:jc w:val="right"/>
              <w:rPr>
                <w:color w:val="000000"/>
                <w:sz w:val="21"/>
                <w:szCs w:val="21"/>
              </w:rPr>
            </w:pPr>
            <w:r w:rsidRPr="009908BC">
              <w:rPr>
                <w:sz w:val="21"/>
                <w:szCs w:val="21"/>
              </w:rPr>
              <w:t>1824</w:t>
            </w:r>
          </w:p>
        </w:tc>
        <w:tc>
          <w:tcPr>
            <w:tcW w:w="1088" w:type="dxa"/>
            <w:tcBorders>
              <w:top w:val="single" w:sz="4" w:space="0" w:color="auto"/>
              <w:bottom w:val="nil"/>
            </w:tcBorders>
            <w:shd w:val="clear" w:color="auto" w:fill="auto"/>
            <w:vAlign w:val="center"/>
          </w:tcPr>
          <w:p w:rsidR="001B0C4A" w:rsidRPr="004C0D7C" w:rsidRDefault="001B0C4A" w:rsidP="009D0447">
            <w:pPr>
              <w:ind w:left="-57"/>
              <w:rPr>
                <w:color w:val="000000"/>
                <w:sz w:val="21"/>
                <w:szCs w:val="21"/>
              </w:rPr>
            </w:pPr>
          </w:p>
        </w:tc>
        <w:tc>
          <w:tcPr>
            <w:tcW w:w="898" w:type="dxa"/>
            <w:gridSpan w:val="2"/>
            <w:tcBorders>
              <w:top w:val="single" w:sz="4" w:space="0" w:color="auto"/>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tcBorders>
              <w:top w:val="single" w:sz="4" w:space="0" w:color="auto"/>
              <w:bottom w:val="nil"/>
            </w:tcBorders>
            <w:shd w:val="clear" w:color="auto" w:fill="auto"/>
            <w:vAlign w:val="center"/>
          </w:tcPr>
          <w:p w:rsidR="001B0C4A" w:rsidRPr="004C0D7C" w:rsidRDefault="001B0C4A" w:rsidP="009D0447">
            <w:pPr>
              <w:ind w:left="-57"/>
              <w:rPr>
                <w:color w:val="000000"/>
                <w:sz w:val="21"/>
                <w:szCs w:val="21"/>
              </w:rPr>
            </w:pPr>
          </w:p>
        </w:tc>
        <w:tc>
          <w:tcPr>
            <w:tcW w:w="898" w:type="dxa"/>
            <w:gridSpan w:val="3"/>
            <w:tcBorders>
              <w:top w:val="single" w:sz="4" w:space="0" w:color="auto"/>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950" w:type="dxa"/>
            <w:gridSpan w:val="2"/>
            <w:tcBorders>
              <w:top w:val="single" w:sz="4" w:space="0" w:color="auto"/>
              <w:bottom w:val="nil"/>
            </w:tcBorders>
            <w:shd w:val="clear" w:color="auto" w:fill="auto"/>
            <w:vAlign w:val="center"/>
          </w:tcPr>
          <w:p w:rsidR="001B0C4A" w:rsidRPr="004C0D7C" w:rsidRDefault="001B0C4A" w:rsidP="009D0447">
            <w:pPr>
              <w:ind w:left="-57"/>
              <w:rPr>
                <w:color w:val="000000"/>
                <w:sz w:val="21"/>
                <w:szCs w:val="21"/>
              </w:rPr>
            </w:pPr>
          </w:p>
        </w:tc>
        <w:tc>
          <w:tcPr>
            <w:tcW w:w="898" w:type="dxa"/>
            <w:gridSpan w:val="3"/>
            <w:tcBorders>
              <w:top w:val="single" w:sz="4" w:space="0" w:color="auto"/>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single" w:sz="4" w:space="0" w:color="auto"/>
              <w:bottom w:val="nil"/>
            </w:tcBorders>
            <w:shd w:val="clear" w:color="auto" w:fill="auto"/>
            <w:vAlign w:val="center"/>
          </w:tcPr>
          <w:p w:rsidR="001B0C4A" w:rsidRPr="004C0D7C" w:rsidRDefault="001B0C4A" w:rsidP="009D0447">
            <w:pPr>
              <w:ind w:left="-57" w:right="-113"/>
              <w:rPr>
                <w:color w:val="000000"/>
                <w:sz w:val="21"/>
                <w:szCs w:val="21"/>
              </w:rPr>
            </w:pPr>
          </w:p>
        </w:tc>
        <w:tc>
          <w:tcPr>
            <w:tcW w:w="897" w:type="dxa"/>
            <w:gridSpan w:val="3"/>
            <w:tcBorders>
              <w:top w:val="single" w:sz="4" w:space="0" w:color="auto"/>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single" w:sz="4" w:space="0" w:color="auto"/>
              <w:bottom w:val="nil"/>
            </w:tcBorders>
            <w:shd w:val="clear" w:color="auto" w:fill="auto"/>
            <w:vAlign w:val="center"/>
          </w:tcPr>
          <w:p w:rsidR="001B0C4A" w:rsidRPr="004C0D7C" w:rsidRDefault="001B0C4A" w:rsidP="009D0447">
            <w:pPr>
              <w:ind w:left="-57"/>
              <w:rPr>
                <w:color w:val="000000"/>
                <w:sz w:val="21"/>
                <w:szCs w:val="21"/>
              </w:rPr>
            </w:pPr>
          </w:p>
        </w:tc>
        <w:tc>
          <w:tcPr>
            <w:tcW w:w="898" w:type="dxa"/>
            <w:gridSpan w:val="2"/>
            <w:tcBorders>
              <w:top w:val="single" w:sz="4" w:space="0" w:color="auto"/>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single" w:sz="4" w:space="0" w:color="auto"/>
              <w:bottom w:val="nil"/>
            </w:tcBorders>
            <w:shd w:val="clear" w:color="auto" w:fill="auto"/>
            <w:vAlign w:val="center"/>
          </w:tcPr>
          <w:p w:rsidR="001B0C4A" w:rsidRPr="004C0D7C" w:rsidRDefault="001B0C4A" w:rsidP="009D0447">
            <w:pPr>
              <w:ind w:left="-57"/>
              <w:rPr>
                <w:color w:val="000000"/>
                <w:sz w:val="21"/>
                <w:szCs w:val="21"/>
              </w:rPr>
            </w:pPr>
          </w:p>
        </w:tc>
      </w:tr>
      <w:tr w:rsidR="001B0C4A" w:rsidRPr="00B54505" w:rsidTr="006D63D8">
        <w:trPr>
          <w:gridAfter w:val="2"/>
          <w:wAfter w:w="189" w:type="dxa"/>
        </w:trPr>
        <w:tc>
          <w:tcPr>
            <w:tcW w:w="2977" w:type="dxa"/>
            <w:tcBorders>
              <w:top w:val="nil"/>
              <w:left w:val="nil"/>
              <w:bottom w:val="nil"/>
              <w:right w:val="nil"/>
            </w:tcBorders>
            <w:shd w:val="clear" w:color="auto" w:fill="auto"/>
          </w:tcPr>
          <w:p w:rsidR="001B0C4A" w:rsidRPr="004C0D7C" w:rsidRDefault="001B0C4A" w:rsidP="009D0447">
            <w:pPr>
              <w:rPr>
                <w:rFonts w:eastAsia="Times New Roman"/>
                <w:sz w:val="21"/>
                <w:szCs w:val="21"/>
              </w:rPr>
            </w:pPr>
            <w:r w:rsidRPr="009908BC">
              <w:rPr>
                <w:rFonts w:eastAsia="Times New Roman"/>
                <w:sz w:val="21"/>
                <w:szCs w:val="21"/>
              </w:rPr>
              <w:t xml:space="preserve">Wald </w:t>
            </w:r>
            <w:r w:rsidRPr="009908BC">
              <w:rPr>
                <w:rFonts w:eastAsia="Times New Roman"/>
                <w:sz w:val="21"/>
                <w:szCs w:val="21"/>
              </w:rPr>
              <w:sym w:font="Symbol" w:char="F063"/>
            </w:r>
            <w:r w:rsidRPr="009908BC">
              <w:rPr>
                <w:rFonts w:eastAsia="Times New Roman"/>
                <w:sz w:val="21"/>
                <w:szCs w:val="21"/>
                <w:vertAlign w:val="superscript"/>
              </w:rPr>
              <w:t>2</w:t>
            </w:r>
          </w:p>
        </w:tc>
        <w:tc>
          <w:tcPr>
            <w:tcW w:w="992" w:type="dxa"/>
            <w:tcBorders>
              <w:top w:val="nil"/>
              <w:left w:val="nil"/>
              <w:bottom w:val="nil"/>
              <w:right w:val="nil"/>
            </w:tcBorders>
            <w:shd w:val="clear" w:color="auto" w:fill="auto"/>
          </w:tcPr>
          <w:p w:rsidR="001B0C4A" w:rsidRPr="004C0D7C" w:rsidRDefault="001B0C4A" w:rsidP="009D0447">
            <w:pPr>
              <w:jc w:val="right"/>
              <w:rPr>
                <w:color w:val="000000"/>
                <w:sz w:val="21"/>
                <w:szCs w:val="21"/>
              </w:rPr>
            </w:pPr>
            <w:r>
              <w:rPr>
                <w:sz w:val="21"/>
                <w:szCs w:val="21"/>
              </w:rPr>
              <w:t>472.58</w:t>
            </w:r>
          </w:p>
        </w:tc>
        <w:tc>
          <w:tcPr>
            <w:tcW w:w="1088" w:type="dxa"/>
            <w:tcBorders>
              <w:top w:val="nil"/>
              <w:bottom w:val="nil"/>
            </w:tcBorders>
            <w:shd w:val="clear" w:color="auto" w:fill="auto"/>
            <w:vAlign w:val="center"/>
          </w:tcPr>
          <w:p w:rsidR="001B0C4A" w:rsidRPr="004C0D7C" w:rsidRDefault="001B0C4A" w:rsidP="009D0447">
            <w:pPr>
              <w:ind w:left="-57"/>
              <w:rPr>
                <w:color w:val="000000"/>
                <w:sz w:val="21"/>
                <w:szCs w:val="21"/>
              </w:rPr>
            </w:pPr>
          </w:p>
        </w:tc>
        <w:tc>
          <w:tcPr>
            <w:tcW w:w="898" w:type="dxa"/>
            <w:gridSpan w:val="2"/>
            <w:tcBorders>
              <w:top w:val="nil"/>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tcBorders>
              <w:top w:val="nil"/>
              <w:bottom w:val="nil"/>
            </w:tcBorders>
            <w:shd w:val="clear" w:color="auto" w:fill="auto"/>
            <w:vAlign w:val="center"/>
          </w:tcPr>
          <w:p w:rsidR="001B0C4A" w:rsidRPr="004C0D7C" w:rsidRDefault="001B0C4A" w:rsidP="009D0447">
            <w:pPr>
              <w:ind w:left="-57"/>
              <w:rPr>
                <w:color w:val="000000"/>
                <w:sz w:val="21"/>
                <w:szCs w:val="21"/>
              </w:rPr>
            </w:pPr>
          </w:p>
        </w:tc>
        <w:tc>
          <w:tcPr>
            <w:tcW w:w="898" w:type="dxa"/>
            <w:gridSpan w:val="3"/>
            <w:tcBorders>
              <w:top w:val="nil"/>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950"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p>
        </w:tc>
        <w:tc>
          <w:tcPr>
            <w:tcW w:w="898" w:type="dxa"/>
            <w:gridSpan w:val="3"/>
            <w:tcBorders>
              <w:top w:val="nil"/>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nil"/>
              <w:bottom w:val="nil"/>
            </w:tcBorders>
            <w:shd w:val="clear" w:color="auto" w:fill="auto"/>
            <w:vAlign w:val="center"/>
          </w:tcPr>
          <w:p w:rsidR="001B0C4A" w:rsidRPr="004C0D7C" w:rsidRDefault="001B0C4A" w:rsidP="009D0447">
            <w:pPr>
              <w:ind w:left="-57" w:right="-113"/>
              <w:rPr>
                <w:color w:val="000000"/>
                <w:sz w:val="21"/>
                <w:szCs w:val="21"/>
              </w:rPr>
            </w:pPr>
          </w:p>
        </w:tc>
        <w:tc>
          <w:tcPr>
            <w:tcW w:w="897" w:type="dxa"/>
            <w:gridSpan w:val="3"/>
            <w:tcBorders>
              <w:top w:val="nil"/>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p>
        </w:tc>
        <w:tc>
          <w:tcPr>
            <w:tcW w:w="898" w:type="dxa"/>
            <w:gridSpan w:val="2"/>
            <w:tcBorders>
              <w:top w:val="nil"/>
              <w:bottom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nil"/>
              <w:bottom w:val="nil"/>
            </w:tcBorders>
            <w:shd w:val="clear" w:color="auto" w:fill="auto"/>
            <w:vAlign w:val="center"/>
          </w:tcPr>
          <w:p w:rsidR="001B0C4A" w:rsidRPr="004C0D7C" w:rsidRDefault="001B0C4A" w:rsidP="009D0447">
            <w:pPr>
              <w:ind w:left="-57"/>
              <w:rPr>
                <w:color w:val="000000"/>
                <w:sz w:val="21"/>
                <w:szCs w:val="21"/>
              </w:rPr>
            </w:pPr>
          </w:p>
        </w:tc>
      </w:tr>
      <w:tr w:rsidR="001B0C4A" w:rsidRPr="00B54505" w:rsidTr="006D63D8">
        <w:trPr>
          <w:gridAfter w:val="2"/>
          <w:wAfter w:w="189" w:type="dxa"/>
        </w:trPr>
        <w:tc>
          <w:tcPr>
            <w:tcW w:w="2977" w:type="dxa"/>
            <w:tcBorders>
              <w:top w:val="nil"/>
              <w:left w:val="nil"/>
              <w:right w:val="nil"/>
            </w:tcBorders>
            <w:shd w:val="clear" w:color="auto" w:fill="auto"/>
          </w:tcPr>
          <w:p w:rsidR="001B0C4A" w:rsidRPr="004C0D7C" w:rsidRDefault="001B0C4A" w:rsidP="009D0447">
            <w:pPr>
              <w:rPr>
                <w:rFonts w:eastAsia="Times New Roman"/>
                <w:sz w:val="21"/>
                <w:szCs w:val="21"/>
              </w:rPr>
            </w:pPr>
            <w:r w:rsidRPr="009908BC">
              <w:rPr>
                <w:rFonts w:eastAsia="Times New Roman"/>
                <w:sz w:val="21"/>
                <w:szCs w:val="21"/>
              </w:rPr>
              <w:t>Log pseudolikelihood</w:t>
            </w:r>
          </w:p>
        </w:tc>
        <w:tc>
          <w:tcPr>
            <w:tcW w:w="2080" w:type="dxa"/>
            <w:gridSpan w:val="2"/>
            <w:tcBorders>
              <w:top w:val="nil"/>
              <w:left w:val="nil"/>
            </w:tcBorders>
            <w:shd w:val="clear" w:color="auto" w:fill="auto"/>
          </w:tcPr>
          <w:p w:rsidR="001B0C4A" w:rsidRPr="004C0D7C" w:rsidRDefault="001B0C4A" w:rsidP="009D0447">
            <w:pPr>
              <w:ind w:left="-57"/>
              <w:rPr>
                <w:color w:val="000000"/>
                <w:sz w:val="21"/>
                <w:szCs w:val="21"/>
              </w:rPr>
            </w:pPr>
            <w:r w:rsidRPr="009908BC">
              <w:rPr>
                <w:sz w:val="21"/>
                <w:szCs w:val="21"/>
              </w:rPr>
              <w:t>-319</w:t>
            </w:r>
            <w:r>
              <w:rPr>
                <w:sz w:val="21"/>
                <w:szCs w:val="21"/>
              </w:rPr>
              <w:t>3</w:t>
            </w:r>
            <w:r w:rsidRPr="009908BC">
              <w:rPr>
                <w:sz w:val="21"/>
                <w:szCs w:val="21"/>
              </w:rPr>
              <w:t>.3</w:t>
            </w:r>
            <w:r>
              <w:rPr>
                <w:sz w:val="21"/>
                <w:szCs w:val="21"/>
              </w:rPr>
              <w:t>3</w:t>
            </w:r>
          </w:p>
        </w:tc>
        <w:tc>
          <w:tcPr>
            <w:tcW w:w="898" w:type="dxa"/>
            <w:gridSpan w:val="2"/>
            <w:tcBorders>
              <w:top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tcBorders>
              <w:top w:val="nil"/>
            </w:tcBorders>
            <w:shd w:val="clear" w:color="auto" w:fill="auto"/>
            <w:vAlign w:val="center"/>
          </w:tcPr>
          <w:p w:rsidR="001B0C4A" w:rsidRPr="004C0D7C" w:rsidRDefault="001B0C4A" w:rsidP="009D0447">
            <w:pPr>
              <w:ind w:left="-57"/>
              <w:rPr>
                <w:color w:val="000000"/>
                <w:sz w:val="21"/>
                <w:szCs w:val="21"/>
              </w:rPr>
            </w:pPr>
          </w:p>
        </w:tc>
        <w:tc>
          <w:tcPr>
            <w:tcW w:w="898" w:type="dxa"/>
            <w:gridSpan w:val="3"/>
            <w:tcBorders>
              <w:top w:val="nil"/>
            </w:tcBorders>
            <w:shd w:val="clear" w:color="auto" w:fill="auto"/>
            <w:vAlign w:val="center"/>
          </w:tcPr>
          <w:p w:rsidR="001B0C4A" w:rsidRPr="004C0D7C" w:rsidRDefault="001B0C4A" w:rsidP="009D0447">
            <w:pPr>
              <w:ind w:left="-57" w:right="-113"/>
              <w:jc w:val="right"/>
              <w:rPr>
                <w:color w:val="000000"/>
                <w:sz w:val="21"/>
                <w:szCs w:val="21"/>
              </w:rPr>
            </w:pPr>
          </w:p>
        </w:tc>
        <w:tc>
          <w:tcPr>
            <w:tcW w:w="950" w:type="dxa"/>
            <w:gridSpan w:val="2"/>
            <w:tcBorders>
              <w:top w:val="nil"/>
            </w:tcBorders>
            <w:shd w:val="clear" w:color="auto" w:fill="auto"/>
            <w:vAlign w:val="center"/>
          </w:tcPr>
          <w:p w:rsidR="001B0C4A" w:rsidRPr="004C0D7C" w:rsidRDefault="001B0C4A" w:rsidP="009D0447">
            <w:pPr>
              <w:ind w:left="-57"/>
              <w:rPr>
                <w:color w:val="000000"/>
                <w:sz w:val="21"/>
                <w:szCs w:val="21"/>
              </w:rPr>
            </w:pPr>
          </w:p>
        </w:tc>
        <w:tc>
          <w:tcPr>
            <w:tcW w:w="898" w:type="dxa"/>
            <w:gridSpan w:val="3"/>
            <w:tcBorders>
              <w:top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nil"/>
            </w:tcBorders>
            <w:shd w:val="clear" w:color="auto" w:fill="auto"/>
            <w:vAlign w:val="center"/>
          </w:tcPr>
          <w:p w:rsidR="001B0C4A" w:rsidRPr="004C0D7C" w:rsidRDefault="001B0C4A" w:rsidP="009D0447">
            <w:pPr>
              <w:ind w:left="-57" w:right="-113"/>
              <w:rPr>
                <w:color w:val="000000"/>
                <w:sz w:val="21"/>
                <w:szCs w:val="21"/>
              </w:rPr>
            </w:pPr>
          </w:p>
        </w:tc>
        <w:tc>
          <w:tcPr>
            <w:tcW w:w="897" w:type="dxa"/>
            <w:gridSpan w:val="3"/>
            <w:tcBorders>
              <w:top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nil"/>
            </w:tcBorders>
            <w:shd w:val="clear" w:color="auto" w:fill="auto"/>
            <w:vAlign w:val="center"/>
          </w:tcPr>
          <w:p w:rsidR="001B0C4A" w:rsidRPr="004C0D7C" w:rsidRDefault="001B0C4A" w:rsidP="009D0447">
            <w:pPr>
              <w:ind w:left="-57"/>
              <w:rPr>
                <w:color w:val="000000"/>
                <w:sz w:val="21"/>
                <w:szCs w:val="21"/>
              </w:rPr>
            </w:pPr>
          </w:p>
        </w:tc>
        <w:tc>
          <w:tcPr>
            <w:tcW w:w="898" w:type="dxa"/>
            <w:gridSpan w:val="2"/>
            <w:tcBorders>
              <w:top w:val="nil"/>
            </w:tcBorders>
            <w:shd w:val="clear" w:color="auto" w:fill="auto"/>
            <w:vAlign w:val="center"/>
          </w:tcPr>
          <w:p w:rsidR="001B0C4A" w:rsidRPr="004C0D7C" w:rsidRDefault="001B0C4A" w:rsidP="009D0447">
            <w:pPr>
              <w:ind w:left="-57" w:right="-113"/>
              <w:jc w:val="right"/>
              <w:rPr>
                <w:color w:val="000000"/>
                <w:sz w:val="21"/>
                <w:szCs w:val="21"/>
              </w:rPr>
            </w:pPr>
          </w:p>
        </w:tc>
        <w:tc>
          <w:tcPr>
            <w:tcW w:w="898" w:type="dxa"/>
            <w:gridSpan w:val="2"/>
            <w:tcBorders>
              <w:top w:val="nil"/>
            </w:tcBorders>
            <w:shd w:val="clear" w:color="auto" w:fill="auto"/>
            <w:vAlign w:val="center"/>
          </w:tcPr>
          <w:p w:rsidR="001B0C4A" w:rsidRPr="004C0D7C" w:rsidRDefault="001B0C4A" w:rsidP="009D0447">
            <w:pPr>
              <w:ind w:left="-57"/>
              <w:rPr>
                <w:color w:val="000000"/>
                <w:sz w:val="21"/>
                <w:szCs w:val="21"/>
              </w:rPr>
            </w:pPr>
          </w:p>
        </w:tc>
      </w:tr>
    </w:tbl>
    <w:p w:rsidR="001B0C4A" w:rsidRPr="00B54505" w:rsidRDefault="001B0C4A" w:rsidP="009D0447">
      <w:pPr>
        <w:spacing w:line="480" w:lineRule="auto"/>
        <w:ind w:firstLine="141"/>
        <w:sectPr w:rsidR="001B0C4A" w:rsidRPr="00B54505" w:rsidSect="008D05D7">
          <w:pgSz w:w="16838" w:h="11906" w:orient="landscape"/>
          <w:pgMar w:top="1440" w:right="1440" w:bottom="1440" w:left="1440" w:header="709" w:footer="709" w:gutter="0"/>
          <w:lnNumType w:countBy="1" w:restart="continuous"/>
          <w:cols w:space="708"/>
          <w:docGrid w:linePitch="360"/>
        </w:sectPr>
      </w:pPr>
      <w:r w:rsidRPr="0023703F">
        <w:rPr>
          <w:sz w:val="20"/>
          <w:u w:val="single"/>
        </w:rPr>
        <w:t>Note</w:t>
      </w:r>
      <w:r>
        <w:rPr>
          <w:sz w:val="20"/>
        </w:rPr>
        <w:t>:</w:t>
      </w:r>
      <w:r w:rsidRPr="00B073C3">
        <w:rPr>
          <w:sz w:val="20"/>
        </w:rPr>
        <w:t xml:space="preserve"> ***p </w:t>
      </w:r>
      <w:r>
        <w:rPr>
          <w:sz w:val="20"/>
        </w:rPr>
        <w:t>≤</w:t>
      </w:r>
      <w:r w:rsidRPr="00B073C3">
        <w:rPr>
          <w:sz w:val="20"/>
        </w:rPr>
        <w:t xml:space="preserve"> 0.01, **p </w:t>
      </w:r>
      <w:r>
        <w:rPr>
          <w:sz w:val="20"/>
        </w:rPr>
        <w:t>≤</w:t>
      </w:r>
      <w:r w:rsidRPr="00B073C3">
        <w:rPr>
          <w:sz w:val="20"/>
        </w:rPr>
        <w:t xml:space="preserve"> 0.05, *p </w:t>
      </w:r>
      <w:r>
        <w:rPr>
          <w:sz w:val="20"/>
        </w:rPr>
        <w:t>≤</w:t>
      </w:r>
      <w:r w:rsidRPr="00B073C3">
        <w:rPr>
          <w:sz w:val="20"/>
        </w:rPr>
        <w:t xml:space="preserve"> 0.1</w:t>
      </w:r>
      <w:r>
        <w:rPr>
          <w:sz w:val="20"/>
        </w:rPr>
        <w:t xml:space="preserve">; </w:t>
      </w:r>
      <w:r w:rsidRPr="00362636">
        <w:rPr>
          <w:sz w:val="20"/>
        </w:rPr>
        <w:t>Robust standard errors in brackets</w:t>
      </w:r>
      <w:r>
        <w:rPr>
          <w:sz w:val="20"/>
        </w:rPr>
        <w:t>.</w:t>
      </w:r>
    </w:p>
    <w:p w:rsidR="001B0C4A" w:rsidRDefault="001B0C4A" w:rsidP="009D0447">
      <w:pPr>
        <w:pStyle w:val="ListParagraph"/>
        <w:numPr>
          <w:ilvl w:val="0"/>
          <w:numId w:val="1"/>
        </w:numPr>
        <w:spacing w:after="0" w:line="480" w:lineRule="auto"/>
        <w:ind w:left="426" w:hanging="426"/>
        <w:rPr>
          <w:rStyle w:val="Strong"/>
          <w:iCs/>
          <w:szCs w:val="30"/>
          <w:shd w:val="clear" w:color="auto" w:fill="FFFFFF"/>
        </w:rPr>
      </w:pPr>
      <w:r w:rsidRPr="00B53529">
        <w:rPr>
          <w:rStyle w:val="Strong"/>
          <w:iCs/>
          <w:szCs w:val="30"/>
          <w:shd w:val="clear" w:color="auto" w:fill="FFFFFF"/>
        </w:rPr>
        <w:lastRenderedPageBreak/>
        <w:t xml:space="preserve">Conclusions and policy </w:t>
      </w:r>
      <w:r>
        <w:rPr>
          <w:rStyle w:val="Strong"/>
          <w:iCs/>
          <w:szCs w:val="30"/>
          <w:shd w:val="clear" w:color="auto" w:fill="FFFFFF"/>
        </w:rPr>
        <w:t>i</w:t>
      </w:r>
      <w:r w:rsidRPr="00B53529">
        <w:rPr>
          <w:rStyle w:val="Strong"/>
          <w:iCs/>
          <w:szCs w:val="30"/>
          <w:shd w:val="clear" w:color="auto" w:fill="FFFFFF"/>
        </w:rPr>
        <w:t>mplications</w:t>
      </w:r>
    </w:p>
    <w:p w:rsidR="001B0C4A" w:rsidRDefault="001B0C4A" w:rsidP="009D0447">
      <w:pPr>
        <w:pStyle w:val="ListParagraph"/>
        <w:spacing w:after="0" w:line="480" w:lineRule="auto"/>
        <w:ind w:left="426"/>
        <w:rPr>
          <w:rStyle w:val="Strong"/>
          <w:iCs/>
          <w:szCs w:val="30"/>
          <w:shd w:val="clear" w:color="auto" w:fill="FFFFFF"/>
        </w:rPr>
      </w:pPr>
    </w:p>
    <w:p w:rsidR="001B0C4A" w:rsidRDefault="001B0C4A" w:rsidP="009D0447">
      <w:pPr>
        <w:spacing w:after="0" w:line="480" w:lineRule="auto"/>
        <w:jc w:val="both"/>
      </w:pPr>
      <w:r>
        <w:t xml:space="preserve">The need to decarbonise energy systems is a pressing issue attracting the attention of governments and businesses across the globe. Australia has started to explore and invest in an energy transition that uses hydrogen </w:t>
      </w:r>
      <w:r>
        <w:rPr>
          <w:noProof/>
        </w:rPr>
        <w:t>(Commonwealth of Australia, 2019)</w:t>
      </w:r>
      <w:r>
        <w:t>. With a focus on technical feasibility and costs, this investment has largely occurred without in-depth understanding of whether the Australian public considers the transition to hydrogen acceptable, or what characteristics public acceptance would be sensitive to.</w:t>
      </w:r>
    </w:p>
    <w:p w:rsidR="001B0C4A" w:rsidRDefault="001B0C4A" w:rsidP="009D0447">
      <w:pPr>
        <w:spacing w:after="0" w:line="480" w:lineRule="auto"/>
        <w:jc w:val="both"/>
      </w:pPr>
    </w:p>
    <w:p w:rsidR="001B0C4A" w:rsidRDefault="001B0C4A" w:rsidP="009D0447">
      <w:pPr>
        <w:spacing w:after="0" w:line="480" w:lineRule="auto"/>
        <w:jc w:val="both"/>
      </w:pPr>
      <w:r>
        <w:t>The research reported here shows the relative importance that 1824 residents of south-eastern Australia (namely South Australia and Victoria) placed on six</w:t>
      </w:r>
      <w:r w:rsidRPr="00E61822">
        <w:t xml:space="preserve"> characteristics of a future hydrogen energy system</w:t>
      </w:r>
      <w:r>
        <w:t xml:space="preserve"> in 2020. Overall, safety was rated the most important characteristic, followed by climate change mitigation and affordability, reliability and then accessibility and job creation</w:t>
      </w:r>
      <w:r w:rsidRPr="00F62BD4">
        <w:t>.</w:t>
      </w:r>
      <w:r>
        <w:t xml:space="preserve"> This order of importance indicates that in general, individuals are not willing to trade-off safety to meet other objectives, or trade-off affordability for climate change mitigation. However, the weighting across each of the six characteristics, and different weightings made by various groups, indicates that policies p</w:t>
      </w:r>
      <w:r w:rsidRPr="003308F4">
        <w:t>rioritising one characteristic over other</w:t>
      </w:r>
      <w:r>
        <w:t xml:space="preserve">s </w:t>
      </w:r>
      <w:r w:rsidRPr="003308F4">
        <w:t xml:space="preserve">could be detrimental </w:t>
      </w:r>
      <w:r>
        <w:t>to any pursuit of public acceptance or high-level social licence outcome</w:t>
      </w:r>
      <w:r w:rsidRPr="003308F4">
        <w:t>.</w:t>
      </w:r>
      <w:r>
        <w:t xml:space="preserve"> The results of the fractional multinomial logit modelling indicated that individuals are more likely to allocate importance to characteristics they are: (1) concerned about; and (2) expect to benefit from. For example, individuals concerned about negative impacts of climate change on their household were statistically significantly more likely to allocate importance to climate change mitigation. </w:t>
      </w:r>
    </w:p>
    <w:p w:rsidR="001B0C4A" w:rsidRDefault="001B0C4A" w:rsidP="009D0447">
      <w:pPr>
        <w:spacing w:after="0" w:line="480" w:lineRule="auto"/>
        <w:jc w:val="both"/>
      </w:pPr>
    </w:p>
    <w:p w:rsidR="001B0C4A" w:rsidRDefault="001B0C4A" w:rsidP="009D0447">
      <w:pPr>
        <w:spacing w:after="0" w:line="480" w:lineRule="auto"/>
        <w:jc w:val="both"/>
      </w:pPr>
      <w:r w:rsidRPr="00FE4300">
        <w:t xml:space="preserve">Noting that trade-offs are complex, a clear understanding of society’s preferences for decarbonising the economy can guide both public policy and private investment. For example, the results of this research indicate that maintaining the current technology neutral approach to hydrogen production (i.e. supporting both renewable hydrogen and fossil hydrogen), could </w:t>
      </w:r>
      <w:r w:rsidRPr="00FE4300">
        <w:lastRenderedPageBreak/>
        <w:t xml:space="preserve">be costly to the industry’s chances of obtaining a social licence. </w:t>
      </w:r>
      <w:r>
        <w:t xml:space="preserve">The policy and investment implications of this research are also not limited to Australia. Australia has established various partnerships and agreements to further collaborate on hydrogen research and regulations and to build markets with countries such as Japan, South Korea, Singapore and Germany </w:t>
      </w:r>
      <w:r>
        <w:rPr>
          <w:noProof/>
        </w:rPr>
        <w:t>(Commonwealth of Australia, 2019; Prime Minister of Australia, 2021)</w:t>
      </w:r>
      <w:r>
        <w:t xml:space="preserve">. Any impact that the Australian publics’ expectations and preferences have on shaping policy and investment in hydrogen in Australia will inevitably influence potential interactions with partner countries. Likewise, partner countries, particularly trading partners, can create (dis)incentives to influence the direction of hydrogen policy and investment in Australia </w:t>
      </w:r>
      <w:r>
        <w:rPr>
          <w:noProof/>
        </w:rPr>
        <w:t>(Muller et al., 2021)</w:t>
      </w:r>
      <w:r>
        <w:t xml:space="preserve">. </w:t>
      </w:r>
    </w:p>
    <w:p w:rsidR="001B0C4A" w:rsidRDefault="001B0C4A" w:rsidP="009D0447">
      <w:pPr>
        <w:pStyle w:val="NoSpacing"/>
        <w:spacing w:line="480" w:lineRule="auto"/>
        <w:jc w:val="both"/>
      </w:pPr>
    </w:p>
    <w:p w:rsidR="001B0C4A" w:rsidRDefault="001B0C4A" w:rsidP="009D0447">
      <w:pPr>
        <w:pStyle w:val="NoSpacing"/>
        <w:spacing w:line="480" w:lineRule="auto"/>
        <w:jc w:val="both"/>
      </w:pPr>
      <w:r>
        <w:t>The findings reported here also indicate that self-rated h</w:t>
      </w:r>
      <w:r w:rsidRPr="00CA59CF">
        <w:t>ydrogen</w:t>
      </w:r>
      <w:r>
        <w:t xml:space="preserve"> knowledge is relatively low among the public in south-eastern Australia. By understanding </w:t>
      </w:r>
      <w:r w:rsidRPr="00CA59CF">
        <w:t>t</w:t>
      </w:r>
      <w:r>
        <w:t>he</w:t>
      </w:r>
      <w:r w:rsidRPr="00CA59CF">
        <w:t xml:space="preserve"> </w:t>
      </w:r>
      <w:r>
        <w:t>characteristics of a hydrogen industry considered most</w:t>
      </w:r>
      <w:r w:rsidRPr="00CA59CF">
        <w:t xml:space="preserve"> important </w:t>
      </w:r>
      <w:r>
        <w:t>as done here,</w:t>
      </w:r>
      <w:r w:rsidRPr="00CA59CF">
        <w:t xml:space="preserve"> </w:t>
      </w:r>
      <w:r>
        <w:t xml:space="preserve">it is possible to </w:t>
      </w:r>
      <w:r w:rsidRPr="00CA59CF">
        <w:t>tailor communication</w:t>
      </w:r>
      <w:r>
        <w:t xml:space="preserve"> and knowledge campaigns</w:t>
      </w:r>
      <w:r w:rsidRPr="00CA59CF">
        <w:t xml:space="preserve"> </w:t>
      </w:r>
      <w:r>
        <w:t xml:space="preserve">to focus on areas of particular interest or concern. Indeed, information about the industry is likely to be critical to social licence outcomes given that information is required prior to any decision to consent. However, decisions to grant a social licence are not based on information and knowledge alone, rather this is one condition alongside other expected costs and benefits that have been shown to be associated with social licence outcomes in natural resource dependent industries </w:t>
      </w:r>
      <w:r>
        <w:rPr>
          <w:noProof/>
        </w:rPr>
        <w:t>(Dumbrell et al., 2021)</w:t>
      </w:r>
      <w:r>
        <w:t>. To reflect this, continued growth in the hydrogen industry, including the construction of demonstration plants, would benefit from specific research to understand the local and broader community’s preferences and perceptions of the magnitude and distribution of costs and benefits and their willingness to accept any proposed trade-offs in the hydrogen transition.</w:t>
      </w:r>
    </w:p>
    <w:p w:rsidR="001B0C4A" w:rsidRDefault="001B0C4A" w:rsidP="009D0447">
      <w:pPr>
        <w:pStyle w:val="NoSpacing"/>
        <w:spacing w:line="480" w:lineRule="auto"/>
        <w:jc w:val="both"/>
      </w:pPr>
    </w:p>
    <w:p w:rsidR="001B0C4A" w:rsidRDefault="001B0C4A" w:rsidP="00E11D1D">
      <w:pPr>
        <w:spacing w:after="0" w:line="480" w:lineRule="auto"/>
        <w:rPr>
          <w:b/>
        </w:rPr>
      </w:pPr>
      <w:r w:rsidRPr="00DA52F3">
        <w:rPr>
          <w:b/>
        </w:rPr>
        <w:t>Acknowledgements</w:t>
      </w:r>
    </w:p>
    <w:p w:rsidR="001B0C4A" w:rsidRDefault="001B0C4A" w:rsidP="00E11D1D">
      <w:pPr>
        <w:spacing w:after="0" w:line="480" w:lineRule="auto"/>
      </w:pPr>
      <w:r w:rsidRPr="004A48B8">
        <w:rPr>
          <w:szCs w:val="16"/>
        </w:rPr>
        <w:t xml:space="preserve">Funding: This work was supported by the Future Fuels Co-operative Research Centre (Project RP2.10-01), an Australian Government Research Training Program Scholarship and </w:t>
      </w:r>
      <w:r>
        <w:rPr>
          <w:szCs w:val="16"/>
        </w:rPr>
        <w:lastRenderedPageBreak/>
        <w:t xml:space="preserve">a </w:t>
      </w:r>
      <w:r w:rsidRPr="004A48B8">
        <w:rPr>
          <w:szCs w:val="16"/>
        </w:rPr>
        <w:t xml:space="preserve">Thomas Foods International/Playford Trust PhD Scholarship. </w:t>
      </w:r>
      <w:proofErr w:type="gramStart"/>
      <w:r>
        <w:rPr>
          <w:szCs w:val="16"/>
        </w:rPr>
        <w:t>Thanks</w:t>
      </w:r>
      <w:proofErr w:type="gramEnd"/>
      <w:r>
        <w:rPr>
          <w:szCs w:val="16"/>
        </w:rPr>
        <w:t xml:space="preserve"> are extended to Associate Professor Adam Loch for h</w:t>
      </w:r>
      <w:r>
        <w:t>elpful guidance in the initial development of this work.</w:t>
      </w:r>
    </w:p>
    <w:p w:rsidR="001B0C4A" w:rsidRDefault="001B0C4A" w:rsidP="00E11D1D">
      <w:pPr>
        <w:spacing w:after="0" w:line="480" w:lineRule="auto"/>
      </w:pPr>
    </w:p>
    <w:p w:rsidR="001B0C4A" w:rsidRPr="00A24B7B" w:rsidRDefault="001B0C4A" w:rsidP="005442AE">
      <w:pPr>
        <w:pStyle w:val="NoSpacing"/>
        <w:ind w:left="567" w:hanging="567"/>
        <w:jc w:val="both"/>
        <w:rPr>
          <w:b/>
        </w:rPr>
      </w:pPr>
      <w:r>
        <w:rPr>
          <w:b/>
        </w:rPr>
        <w:t>R</w:t>
      </w:r>
      <w:r w:rsidRPr="000F125A">
        <w:rPr>
          <w:b/>
        </w:rPr>
        <w:t>eferences</w:t>
      </w:r>
    </w:p>
    <w:p w:rsidR="001B0C4A" w:rsidRDefault="001B0C4A" w:rsidP="005442AE">
      <w:pPr>
        <w:pStyle w:val="EndNoteBibliography"/>
        <w:spacing w:after="0"/>
        <w:ind w:left="567" w:hanging="567"/>
      </w:pPr>
      <w:r w:rsidRPr="001962EF">
        <w:t xml:space="preserve">Acar, C., Dincer, I., 2019. Review and evaluation of hydrogen production options for better environment. J. Clean. Prod. 218, 835-849. </w:t>
      </w:r>
      <w:hyperlink r:id="rId9" w:history="1">
        <w:r w:rsidR="005442AE" w:rsidRPr="00B811BF">
          <w:rPr>
            <w:rStyle w:val="Hyperlink"/>
          </w:rPr>
          <w:t>https://doi.org/10.1016/j.jclepro.2019.02.046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Achterberg, P., Houtman, D., van Bohemen, S., Manevska, K., 2010. Unknowing but supportive? Predispositions, knowledge, and support for hydrogen technology in the Netherlands. Int. J. Hydrog. Energy 35, 6075-6083. </w:t>
      </w:r>
      <w:hyperlink r:id="rId10" w:history="1">
        <w:r w:rsidR="005442AE" w:rsidRPr="00B811BF">
          <w:rPr>
            <w:rStyle w:val="Hyperlink"/>
          </w:rPr>
          <w:t>https://doi.org/10.1016/j.ijhydene.2010.03.091</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Advisian, 2021. Australian hydrogen market study: Sector analysis summary, Report prepared for the Clean Energy Finance Corporation, Canberra, Australia. Available from: </w:t>
      </w:r>
      <w:r w:rsidRPr="001B0C4A">
        <w:t>https://www.cefc.com.au/media/nhnhwlxu/australian-hydrogen-market-study.pdf</w:t>
      </w:r>
      <w:r w:rsidRPr="001962EF">
        <w:t xml:space="preserve"> [Accessed 17 June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Aitchison, J., 1986. The Statistical Analysis of Compositional Data, Chapman and Hall, London, United Kingdom.</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Ashworth, P., Witt, K., Ferguson, M., Sehic, S., 2019. Developing Community Trust in Hydrogen, University of Queensland, Brisbane, Australia, Available from: </w:t>
      </w:r>
      <w:hyperlink r:id="rId11" w:history="1">
        <w:r w:rsidR="005442AE" w:rsidRPr="00B811BF">
          <w:rPr>
            <w:rStyle w:val="Hyperlink"/>
          </w:rPr>
          <w:t>http://www.coagenergycouncil.gov.au/sites/prod.energycouncil/files/publications/documents/nhs-developing-community-trust-in-hydrogen-report-2019_0.pdf</w:t>
        </w:r>
      </w:hyperlink>
      <w:r w:rsidR="005442AE">
        <w:t xml:space="preserve"> </w:t>
      </w:r>
      <w:r w:rsidRPr="001962EF">
        <w:t>[Accessed 1 June 2020].</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Australian Bureau of Statistics, 2018. Postal Area (POA) Index of Relative Socio-economic Advantage and Disadvantage, 2016, ABS, Canberra, Australia. Available from: </w:t>
      </w:r>
      <w:hyperlink r:id="rId12" w:history="1">
        <w:r w:rsidR="005442AE" w:rsidRPr="00B811BF">
          <w:rPr>
            <w:rStyle w:val="Hyperlink"/>
          </w:rPr>
          <w:t>https://www.abs.gov.au/AUSSTATS/abs@.nsf/DetailsPage/2033.0.55.0012016?OpenDocument</w:t>
        </w:r>
      </w:hyperlink>
      <w:r w:rsidR="005442AE">
        <w:t xml:space="preserve"> </w:t>
      </w:r>
      <w:r w:rsidRPr="001962EF">
        <w:t>[Accessed 10 May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Australian Energy Regulator, 2021. State of the energy market 2021, Australian Energy Regulator, Canberra, Australia. Available from: </w:t>
      </w:r>
      <w:hyperlink r:id="rId13" w:history="1">
        <w:r w:rsidR="005442AE" w:rsidRPr="00B811BF">
          <w:rPr>
            <w:rStyle w:val="Hyperlink"/>
          </w:rPr>
          <w:t>https://www.aer.gov.au/publications/state-of-the-energy-market-reports</w:t>
        </w:r>
      </w:hyperlink>
      <w:r w:rsidR="005442AE">
        <w:t xml:space="preserve"> </w:t>
      </w:r>
      <w:r w:rsidRPr="001962EF">
        <w:t>[Accessed 17 August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Australian Government Department of Industry, Science, Energy and Resources, 2020. Technology Investment Roadmap: First Low Emissions Technology Statement, Available from: </w:t>
      </w:r>
      <w:hyperlink r:id="rId14" w:history="1">
        <w:r w:rsidR="005442AE" w:rsidRPr="00B811BF">
          <w:rPr>
            <w:rStyle w:val="Hyperlink"/>
          </w:rPr>
          <w:t>https://www.industry.gov.au/data-and-publications/technology-investment-roadmap-first-low-emissions-technology-statement-2020</w:t>
        </w:r>
      </w:hyperlink>
      <w:r w:rsidR="005442AE">
        <w:t xml:space="preserve"> </w:t>
      </w:r>
      <w:r w:rsidRPr="001962EF">
        <w:t>[Accessed 26 October 2020].</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Beck, F., Bridges, T., Purchase, R., Venkataraman, M., 2019. Australia’s future as a zero-carbon energy exporter: An analysis of the recent reports on Australian hydrogen for export Zero-Carbon Energy for the Asia-Pacific Grand Challenge ZCEAP Working Papers, ZCWP03-19. Available from: </w:t>
      </w:r>
      <w:hyperlink r:id="rId15" w:history="1">
        <w:r w:rsidR="005442AE" w:rsidRPr="00B811BF">
          <w:rPr>
            <w:rStyle w:val="Hyperlink"/>
          </w:rPr>
          <w:t>https://www.anu.edu.au/research/research-initiatives/zero-carbon-energy-for-the-asia-pacific/research-outputs</w:t>
        </w:r>
      </w:hyperlink>
      <w:r w:rsidR="005442AE">
        <w:t xml:space="preserve"> </w:t>
      </w:r>
      <w:r w:rsidRPr="001962EF">
        <w:t>[Accessed 11 May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Bogel, P., Oltra, C., Sala, R., Lores, M., Upham, P., Dutschke, E., Schneider, U., Wiemann, P., 2018. The role of attitudes in technology acceptance management: Reflections on </w:t>
      </w:r>
      <w:r w:rsidRPr="001962EF">
        <w:lastRenderedPageBreak/>
        <w:t xml:space="preserve">the case of hydrogen fuel cells in Europe. J. Clean. Prod. 188, 125-135. </w:t>
      </w:r>
      <w:hyperlink r:id="rId16" w:history="1">
        <w:r w:rsidR="005442AE" w:rsidRPr="00B811BF">
          <w:rPr>
            <w:rStyle w:val="Hyperlink"/>
          </w:rPr>
          <w:t>https://doi.org/10.1016/j.jclepro.2018.03.266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Brear, M.J., Baldick, R., Cronshaw, I., Olofsson, M., 2020. Sector coupling: Supporting decarbonisation of the global energy system. Electr. J. 33, 106832. </w:t>
      </w:r>
      <w:hyperlink r:id="rId17" w:history="1">
        <w:r w:rsidR="005442AE" w:rsidRPr="00B811BF">
          <w:rPr>
            <w:rStyle w:val="Hyperlink"/>
          </w:rPr>
          <w:t>https://doi.org/10.1016/j.tej.2020.106832</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Bruce, S., Temminghoff, M., Hayward, J., Schmidt, E., Munnings, C., Palfreyman, D., Hartley, P., 2018. National Hydrogen Roadmap, CSIRO, Australia. Available from: </w:t>
      </w:r>
      <w:hyperlink r:id="rId18" w:history="1">
        <w:r w:rsidR="005442AE" w:rsidRPr="00B811BF">
          <w:rPr>
            <w:rStyle w:val="Hyperlink"/>
          </w:rPr>
          <w:t>https://www.csiro.au/en/work-with-us/services/consultancy-strategic-advice-services/csiro-futures/futures-reports/hydrogen-roadmap</w:t>
        </w:r>
      </w:hyperlink>
      <w:r w:rsidR="005442AE">
        <w:t xml:space="preserve"> </w:t>
      </w:r>
      <w:r w:rsidRPr="001962EF">
        <w:t>[Accessed 11 June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Buis, M.L., 2008. FMLOGIT: Stata module fitting a fractional multinomial logit model by quasi maximum likelihood, Statistical Software Components S456976, Boston College Department of Economics, Boston, United States.</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Buis, M.L., 2010. Analyzing proportions, Eighth German Stata Users Group Meeting, Available from: </w:t>
      </w:r>
      <w:hyperlink r:id="rId19" w:history="1">
        <w:r w:rsidR="005442AE" w:rsidRPr="00B811BF">
          <w:rPr>
            <w:rStyle w:val="Hyperlink"/>
          </w:rPr>
          <w:t>https://www.stata.com/meeting/germany10/germany10_buis.pdf</w:t>
        </w:r>
      </w:hyperlink>
      <w:r w:rsidR="005442AE">
        <w:t xml:space="preserve"> </w:t>
      </w:r>
      <w:r w:rsidRPr="001962EF">
        <w:t>[Accessed 17 December 2020].</w:t>
      </w:r>
    </w:p>
    <w:p w:rsidR="005442AE" w:rsidRPr="001962EF" w:rsidRDefault="005442AE" w:rsidP="005442AE">
      <w:pPr>
        <w:pStyle w:val="EndNoteBibliography"/>
        <w:spacing w:after="0"/>
        <w:ind w:left="567" w:hanging="567"/>
      </w:pPr>
    </w:p>
    <w:p w:rsidR="005442AE" w:rsidRDefault="001B0C4A" w:rsidP="005442AE">
      <w:pPr>
        <w:pStyle w:val="EndNoteBibliography"/>
        <w:spacing w:after="0"/>
        <w:ind w:left="567" w:hanging="567"/>
      </w:pPr>
      <w:r w:rsidRPr="001962EF">
        <w:t xml:space="preserve">Carr-Cornish, S., Krystina Lamb, K., Rodriguez, M., Gardner, J., 2019. Social science for a hydrogen energy future, Report prepared for the Hydrogen Energy Systems Future Science Platform, CSIRO, Australia. Available from: </w:t>
      </w:r>
    </w:p>
    <w:p w:rsidR="001B0C4A" w:rsidRDefault="00833F00" w:rsidP="005442AE">
      <w:pPr>
        <w:pStyle w:val="EndNoteBibliography"/>
        <w:spacing w:after="0"/>
        <w:ind w:left="567" w:hanging="567"/>
      </w:pPr>
      <w:hyperlink r:id="rId20" w:history="1">
        <w:r w:rsidR="005442AE" w:rsidRPr="00B811BF">
          <w:rPr>
            <w:rStyle w:val="Hyperlink"/>
          </w:rPr>
          <w:t>https://research.csiro.au/hydrogenfsp/wp-content/uploads/sites/247/2020/07/Social-science-for-a-hydrogen-energy-future.pdf</w:t>
        </w:r>
      </w:hyperlink>
      <w:r w:rsidR="005442AE">
        <w:t xml:space="preserve"> </w:t>
      </w:r>
      <w:r w:rsidR="001B0C4A" w:rsidRPr="001962EF">
        <w:t>[Accessed 13 October 2020].</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Clark, T.N., 1974. Can You Cut a Budget Pie. Policy Polit. 3, 3-32. </w:t>
      </w:r>
      <w:hyperlink r:id="rId21" w:history="1">
        <w:r w:rsidR="005442AE" w:rsidRPr="00B811BF">
          <w:rPr>
            <w:rStyle w:val="Hyperlink"/>
          </w:rPr>
          <w:t>https://doi.org/10.1332/030557375783094590</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Colvin, R.M., Jotzo, F., 2021. Australian voters’ attitudes to climate action and their social-political determinants. Plos One 16, e0248268. </w:t>
      </w:r>
      <w:hyperlink r:id="rId22" w:history="1">
        <w:r w:rsidR="005442AE" w:rsidRPr="00B811BF">
          <w:rPr>
            <w:rStyle w:val="Hyperlink"/>
          </w:rPr>
          <w:t>https://doi.org/10.1371/journal.pone.0248268</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Commonwealth of Australia, 2019. Australia's National Hydrogen Strategy, Available from: </w:t>
      </w:r>
      <w:hyperlink r:id="rId23" w:history="1">
        <w:r w:rsidR="005442AE" w:rsidRPr="00B811BF">
          <w:rPr>
            <w:rStyle w:val="Hyperlink"/>
          </w:rPr>
          <w:t>https://www.industry.gov.au/data-and-publications/australias-national-hydrogen-strategy</w:t>
        </w:r>
      </w:hyperlink>
      <w:r w:rsidR="005442AE">
        <w:t xml:space="preserve"> </w:t>
      </w:r>
      <w:r w:rsidRPr="001962EF">
        <w:t>[Accessed 24 February 2020].</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Cook, D.O., Kieschnick, R., McCullough, B.D., 2008. Regression analysis of proportions in finance with self selection. J. Empir. Finance 15, 860-867. </w:t>
      </w:r>
      <w:hyperlink r:id="rId24" w:history="1">
        <w:r w:rsidR="005442AE" w:rsidRPr="00B811BF">
          <w:rPr>
            <w:rStyle w:val="Hyperlink"/>
          </w:rPr>
          <w:t>https://doi.org/10.1016/j.jempfin.2008.02.001</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Cooney, J., 2017. Reflections on the 20th anniversary of the term 'social licence'. J. Energy Nat. Resour. Law 35, 197-200. </w:t>
      </w:r>
      <w:hyperlink r:id="rId25" w:history="1">
        <w:r w:rsidR="005442AE" w:rsidRPr="00B811BF">
          <w:rPr>
            <w:rStyle w:val="Hyperlink"/>
          </w:rPr>
          <w:t>https://doi.org/10.1080/02646811.2016.1269472</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Cowan, R., 1990. Nuclear Power Reactors: A Study in Technological Lock-in. J. Econ. Hist. 50, 541-567. </w:t>
      </w:r>
      <w:hyperlink r:id="rId26" w:history="1">
        <w:r w:rsidR="005442AE" w:rsidRPr="00B811BF">
          <w:rPr>
            <w:rStyle w:val="Hyperlink"/>
          </w:rPr>
          <w:t>https://doi.org/10.1017/S0022050700037153</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Curran, G., 2012. Contested energy futures: Shaping renewable energy narratives in Australia. Glob. Environ. Change 22, 236-244. </w:t>
      </w:r>
      <w:hyperlink r:id="rId27" w:history="1">
        <w:r w:rsidR="005442AE" w:rsidRPr="00B811BF">
          <w:rPr>
            <w:rStyle w:val="Hyperlink"/>
          </w:rPr>
          <w:t>https://doi.org/10.1016/j.gloenvcha.2011.11.009</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Dumbrell, N.P., Adamson, D., Wheeler, S.A., 2020. Is social licence a response to government and market failures? Evidence from the literature. Resour. Policy 69, 101827. </w:t>
      </w:r>
      <w:hyperlink r:id="rId28" w:history="1">
        <w:r w:rsidR="005442AE" w:rsidRPr="00B811BF">
          <w:rPr>
            <w:rStyle w:val="Hyperlink"/>
          </w:rPr>
          <w:t>https://doi.org/10.1016/j.resourpol.2020.101827</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lastRenderedPageBreak/>
        <w:t xml:space="preserve">Dumbrell, N.P., Adamson, D., Zuo, A., Wheeler, S.A., 2021. How do natural resource dependent firms gain and lose a social licence? Glob. Environ. Change 70, 102355. </w:t>
      </w:r>
      <w:hyperlink r:id="rId29" w:history="1">
        <w:r w:rsidR="005442AE" w:rsidRPr="00B811BF">
          <w:rPr>
            <w:rStyle w:val="Hyperlink"/>
          </w:rPr>
          <w:t>https://doi.org/10.1016/j.gloenvcha.2021.102355</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Effendi, P., Courvisanos, J., 2012. Political aspects of innovation: Examining renewable energy in Australia. Renew. Energy 38, 245-252. </w:t>
      </w:r>
      <w:hyperlink r:id="rId30" w:history="1">
        <w:r w:rsidR="005442AE" w:rsidRPr="00B811BF">
          <w:rPr>
            <w:rStyle w:val="Hyperlink"/>
          </w:rPr>
          <w:t>https://doi.org/10.1016/j.renene.2011.07.039</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Energy Networks Australia, 2019. Gas Vision 2050: Hydrogen Innovation Delivering on the Vision, Available from: </w:t>
      </w:r>
      <w:hyperlink r:id="rId31" w:history="1">
        <w:r w:rsidR="005442AE" w:rsidRPr="00B811BF">
          <w:rPr>
            <w:rStyle w:val="Hyperlink"/>
          </w:rPr>
          <w:t>https://www.energynetworks.com.au/resources/reports/gas-vision-2050-hydrogen-innovation/</w:t>
        </w:r>
      </w:hyperlink>
      <w:r w:rsidR="005442AE">
        <w:t xml:space="preserve"> </w:t>
      </w:r>
      <w:r w:rsidRPr="001962EF">
        <w:t>[Accessed 17 May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Eriksson, E.L.V., Gray, E.M., 2017. Optimization and integration of hybrid renewable energy hydrogen fuel cell energy systems – A critical review. Appl. Energy 202, 348-364. </w:t>
      </w:r>
      <w:hyperlink r:id="rId32" w:history="1">
        <w:r w:rsidR="005442AE" w:rsidRPr="00B811BF">
          <w:rPr>
            <w:rStyle w:val="Hyperlink"/>
          </w:rPr>
          <w:t>https://doi.org/10.1016/j.apenergy.2017.03.132</w:t>
        </w:r>
      </w:hyperlink>
      <w:r w:rsidRPr="001962EF">
        <w:t>.</w:t>
      </w:r>
      <w:r w:rsidR="005442AE">
        <w:t xml:space="preserve"> </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Faruque, M.O., 2018. The politics of extractive industry corporate practices: An anatomy of a company-community conflict in Bangladesh. Extract. Ind. Soc. 5, 177-189. </w:t>
      </w:r>
      <w:hyperlink r:id="rId33" w:history="1">
        <w:r w:rsidR="005442AE" w:rsidRPr="00B811BF">
          <w:rPr>
            <w:rStyle w:val="Hyperlink"/>
          </w:rPr>
          <w:t>https://doi.org/10.1016/j.exis.2017.11.009</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Flynn, R., Bellaby, P., Ricci, M., 2009. The 'value-action gap' in public attitudes towards sustainable energy: the case of hydrogen energy. Sociol Rev. 57, 159-180. </w:t>
      </w:r>
      <w:hyperlink r:id="rId34" w:history="1">
        <w:r w:rsidR="005442AE" w:rsidRPr="00B811BF">
          <w:rPr>
            <w:rStyle w:val="Hyperlink"/>
          </w:rPr>
          <w:t>https://doi.org/10.1111/j.1467-954X.2010.01891.x</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García-García, P., Carpintero, Ó., Buendía, L., 2020. Just energy transitions to low carbon economies: A review of the concept and its effects on labour and income. Energy Res. Soc. Sci. 70, 101664. </w:t>
      </w:r>
      <w:hyperlink r:id="rId35" w:history="1">
        <w:r w:rsidR="005442AE" w:rsidRPr="00B811BF">
          <w:rPr>
            <w:rStyle w:val="Hyperlink"/>
          </w:rPr>
          <w:t>https://doi.org/10.1016/j.erss.2020.101664</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Garnaut, R., 2019. Superpower: Australia’s low carbon opportunity, La Trobe University Press, Melbourne, Australia.</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Goddard, G., Farrelly, M.A., 2018. Just transition management: Balancing just outcomes with just processes in Australian renewable energy transitions. Appl. Energy 225, 110-123. </w:t>
      </w:r>
      <w:hyperlink r:id="rId36" w:history="1">
        <w:r w:rsidR="005442AE" w:rsidRPr="00B811BF">
          <w:rPr>
            <w:rStyle w:val="Hyperlink"/>
          </w:rPr>
          <w:t>https://doi.org/10.1016/j.apenergy.2018.05.025</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Government of South Australia, 2019. South Australia's Hydrogen Action Plan, Available from: </w:t>
      </w:r>
      <w:hyperlink r:id="rId37" w:history="1">
        <w:r w:rsidR="005442AE" w:rsidRPr="00B811BF">
          <w:rPr>
            <w:rStyle w:val="Hyperlink"/>
          </w:rPr>
          <w:t>http://www.renewablessa.sa.gov.au/topic/hydrogen/</w:t>
        </w:r>
      </w:hyperlink>
      <w:r w:rsidR="005442AE">
        <w:t xml:space="preserve"> </w:t>
      </w:r>
      <w:r w:rsidRPr="001962EF">
        <w:t>[Accessed 27 September 2019].</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Graafland, J.J., 2002. Profits and principles: Four perspectives. J. Bus. Ethics 35, 293-305. </w:t>
      </w:r>
      <w:hyperlink r:id="rId38" w:history="1">
        <w:r w:rsidR="005442AE" w:rsidRPr="00B811BF">
          <w:rPr>
            <w:rStyle w:val="Hyperlink"/>
          </w:rPr>
          <w:t>https://doi.org/10.1023/A:1013805111691</w:t>
        </w:r>
      </w:hyperlink>
      <w:r w:rsidRPr="001962EF">
        <w:t>.</w:t>
      </w:r>
      <w:r w:rsidR="005442AE">
        <w:t xml:space="preserve"> </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Healy, N., Barry, J., 2017. Politicizing energy justice and energy system transitions: Fossil fuel divestment and a “just transition”. Energy Pol. 108, 451-459. </w:t>
      </w:r>
      <w:hyperlink r:id="rId39" w:history="1">
        <w:r w:rsidR="005442AE" w:rsidRPr="00B811BF">
          <w:rPr>
            <w:rStyle w:val="Hyperlink"/>
          </w:rPr>
          <w:t>https://doi.org/10.1016/j.enpol.2017.06.014</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Heffron, R.J., McCauley, D., Sovacool, B.K., 2015. Resolving society's energy trilemma through the Energy Justice Metric. Energy Pol. 87, 168-176. </w:t>
      </w:r>
      <w:hyperlink r:id="rId40" w:history="1">
        <w:r w:rsidR="005442AE" w:rsidRPr="00B811BF">
          <w:rPr>
            <w:rStyle w:val="Hyperlink"/>
          </w:rPr>
          <w:t>https://doi.org/10.1016/j.enpol.2015.08.033</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Heinz, B., Erdmann, G., 2008. Dynamic effects on the acceptance of hydrogen technologies - an international comparison. Int. J. Hydrog. Energy 33, 3004-3008. </w:t>
      </w:r>
      <w:hyperlink r:id="rId41" w:history="1">
        <w:r w:rsidR="005442AE" w:rsidRPr="00B811BF">
          <w:rPr>
            <w:rStyle w:val="Hyperlink"/>
          </w:rPr>
          <w:t>https://doi.org/10.1016/j.ijhydene.2008.02.068</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lastRenderedPageBreak/>
        <w:t xml:space="preserve">Hord, J., 1978. Is hydrogen a safe fuel? Int. J. Hydrog. Energy 3, 157-176. </w:t>
      </w:r>
      <w:hyperlink r:id="rId42" w:history="1">
        <w:r w:rsidR="005442AE" w:rsidRPr="00B811BF">
          <w:rPr>
            <w:rStyle w:val="Hyperlink"/>
          </w:rPr>
          <w:t>https://doi.org/10.1016/0360-3199(78)90016-2</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Howarth, R.W., Jacobson, M.Z., 2021. How green is blue hydrogen? Energy Sci. Eng. </w:t>
      </w:r>
      <w:hyperlink r:id="rId43" w:history="1">
        <w:r w:rsidR="005442AE" w:rsidRPr="00B811BF">
          <w:rPr>
            <w:rStyle w:val="Hyperlink"/>
          </w:rPr>
          <w:t>https://doi.org/10.1002/ese3.956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Huijts, N.M.A., van Wee, B., 2015. The evaluation of hydrogen fuel stations by citizens: The interrelated effects of socio-demographic, spatial and psychological variables. Int. J. Hydrog. Energy 40, 10367-10381. </w:t>
      </w:r>
      <w:hyperlink r:id="rId44" w:history="1">
        <w:r w:rsidR="005442AE" w:rsidRPr="00B811BF">
          <w:rPr>
            <w:rStyle w:val="Hyperlink"/>
          </w:rPr>
          <w:t>https://doi.org/10.1016/j.ijhydene.2015.06.131</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International Energy Agency, 2019. The Future of Hydrogen: Seizing today’s opportunities, Report prepared by the IEA for the G20, Japan. Available from: </w:t>
      </w:r>
      <w:hyperlink r:id="rId45" w:history="1">
        <w:r w:rsidR="005442AE" w:rsidRPr="00B811BF">
          <w:rPr>
            <w:rStyle w:val="Hyperlink"/>
          </w:rPr>
          <w:t>https://www.iea.org/reports/the-future-of-hydrogen</w:t>
        </w:r>
      </w:hyperlink>
      <w:r w:rsidR="005442AE">
        <w:t xml:space="preserve"> </w:t>
      </w:r>
      <w:r w:rsidRPr="001962EF">
        <w:t>[Accessed 11 May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Kosturjak, A., Dey, T., Young, M.D., Whetton, S., 2019. Advancing Hydrogen: Learning from 19 plans to advance hydrogen from across the globe, Future Fuels Co-operative Research Centre, Australia. Available from: </w:t>
      </w:r>
      <w:hyperlink r:id="rId46" w:history="1">
        <w:r w:rsidR="005442AE" w:rsidRPr="00B811BF">
          <w:rPr>
            <w:rStyle w:val="Hyperlink"/>
          </w:rPr>
          <w:t>https://www.futurefuelscrc.com/wp-content/uploads/RP1.1-03-Hydrogen-Strategies-Final-Report-EXTERNAL-1.pdf</w:t>
        </w:r>
      </w:hyperlink>
      <w:r w:rsidR="005442AE">
        <w:t xml:space="preserve"> </w:t>
      </w:r>
      <w:r w:rsidRPr="001962EF">
        <w:t>[Accessed 12 June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Lambert, V., Ashworth, P., 2018. The Australian public’s perception of hydrogen for energy, University of Queensland, Brisbane, Australia, Available from: </w:t>
      </w:r>
      <w:hyperlink r:id="rId47" w:history="1">
        <w:r w:rsidR="005442AE" w:rsidRPr="00B811BF">
          <w:rPr>
            <w:rStyle w:val="Hyperlink"/>
          </w:rPr>
          <w:t>https://arena.gov.au/assets/2018/12/the-australian-publics-perception-of-hydrogen-for-energy.pdf</w:t>
        </w:r>
      </w:hyperlink>
      <w:r w:rsidR="005442AE">
        <w:t xml:space="preserve"> </w:t>
      </w:r>
      <w:r w:rsidRPr="001962EF">
        <w:t>[Accessed 2 December 2019].</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Langbroek, M., Vanclay, F., 2012. Learning from the social impacts associated with initiating a windfarm near the former island of Urk, The Netherlands. Impact Assess. Proj. Apprais. 30, 167-178. </w:t>
      </w:r>
      <w:hyperlink r:id="rId48" w:history="1">
        <w:r w:rsidR="005442AE" w:rsidRPr="00B811BF">
          <w:rPr>
            <w:rStyle w:val="Hyperlink"/>
          </w:rPr>
          <w:t>https://doi.org/10.1080/14615517.2012.706943</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Loch, A., Boxall, P., Wheeler, S.A., 2016. Using proportional modeling to evaluate irrigator preferences for market-based water reallocation. Agric. Econ. 47, 387-398. </w:t>
      </w:r>
      <w:hyperlink r:id="rId49" w:history="1">
        <w:r w:rsidR="005442AE" w:rsidRPr="00B811BF">
          <w:rPr>
            <w:rStyle w:val="Hyperlink"/>
          </w:rPr>
          <w:t>https://doi.org/10.1111/agec.12238</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Longden, T., Jotzo, F., Prasad, M., Andrews, R., 2020. Green hydrogen production costs in Australia: implications of renewable energy and electrolyser costs, CCEP Working Paper 20-07, ZCEAP Working Paper ZCWP03-20, August 2020, The Australian National University. Available from: </w:t>
      </w:r>
      <w:hyperlink r:id="rId50" w:history="1">
        <w:r w:rsidR="005442AE" w:rsidRPr="00B811BF">
          <w:rPr>
            <w:rStyle w:val="Hyperlink"/>
          </w:rPr>
          <w:t>https://ccep.crawford.anu.edu.au/sites/default/files/publication/ccep_crawford_anu_edu_au/2020-09/ccep20-07_longden-jotzo-prasad-andrews_h2_costs.pdf</w:t>
        </w:r>
      </w:hyperlink>
      <w:r w:rsidR="005442AE">
        <w:t xml:space="preserve"> </w:t>
      </w:r>
      <w:r w:rsidRPr="001962EF">
        <w:t xml:space="preserve">[Accessed 16 September 2020] </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Louviere, J.J., Islam, T., 2008. A comparison of importance weights and willingness-to-pay measures derived from choice-based conjoint, constant sum scales and best–worst scaling. J. Bus. Res. 61, 903-911. </w:t>
      </w:r>
      <w:hyperlink r:id="rId51" w:history="1">
        <w:r w:rsidR="005442AE" w:rsidRPr="00B811BF">
          <w:rPr>
            <w:rStyle w:val="Hyperlink"/>
          </w:rPr>
          <w:t>https://doi.org/10.1016/j.jbusres.2006.11.010</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Luke, H., 2017. Social resistance to coal seam gas development in the Northern Rivers region of Eastern Australia: Proposing a diamond model of social license to operate. Land Use Policy 69, 266-280. </w:t>
      </w:r>
      <w:hyperlink r:id="rId52" w:history="1">
        <w:r w:rsidR="005442AE" w:rsidRPr="00B811BF">
          <w:rPr>
            <w:rStyle w:val="Hyperlink"/>
          </w:rPr>
          <w:t>https://doi.org/10.1016/j.landusepol.2017.09.006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Luo, T.Y., Escalante, C.L., 2017. US farm workers: What drives their job retention and work time allocation decisions? Econ. Labour Relat. Rev. 28, 270-293. </w:t>
      </w:r>
      <w:hyperlink r:id="rId53" w:history="1">
        <w:r w:rsidR="005442AE" w:rsidRPr="00B811BF">
          <w:rPr>
            <w:rStyle w:val="Hyperlink"/>
          </w:rPr>
          <w:t>https://doi.org/10.1177/1035304617703933</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Ma, C., Rogers, A.A., Kragt, M.E., Zhang, F., Polyakov, M., Gibson, F., Chalak, M., Pandit, R., Tapsuwan, S., 2015. Consumers’ willingness to pay for renewable energy: A meta-</w:t>
      </w:r>
      <w:r w:rsidRPr="001962EF">
        <w:lastRenderedPageBreak/>
        <w:t xml:space="preserve">regression analysis. Resour. Energy Econ. 42, 93-109. </w:t>
      </w:r>
      <w:hyperlink r:id="rId54" w:history="1">
        <w:r w:rsidR="005442AE" w:rsidRPr="00B811BF">
          <w:rPr>
            <w:rStyle w:val="Hyperlink"/>
          </w:rPr>
          <w:t>https://doi.org/10.1016/j.reseneeco.2015.07.003</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Malek, L., Umberger, W.J., 2021. Distinguishing meat reducers from unrestricted omnivores, vegetarians and vegans: A comprehensive comparison of Australian consumers. Food Qual. Prefer. 88, 104081. </w:t>
      </w:r>
      <w:hyperlink r:id="rId55" w:history="1">
        <w:r w:rsidR="005442AE" w:rsidRPr="00B811BF">
          <w:rPr>
            <w:rStyle w:val="Hyperlink"/>
          </w:rPr>
          <w:t>https://doi.org/10.1016/j.foodqual.2020.104081</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Marcos-Martinez, R., Measham, T.G., Fleming-Munoz, D.A., 2019. Economic impacts of early unconventional gas mining: Lessons from the coal seam gas industry in New South Wales, Australia. Energy Pol. 125, 338-346. </w:t>
      </w:r>
      <w:hyperlink r:id="rId56" w:history="1">
        <w:r w:rsidR="005442AE" w:rsidRPr="00B811BF">
          <w:rPr>
            <w:rStyle w:val="Hyperlink"/>
          </w:rPr>
          <w:t>https://doi.org/10.1016/j.enpol.2018.10.067</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Martin, V., Ashworth, P., Petrova, S., Wade, B., Wit, K., 2021. Public Perceptions of Hydrogen: 2021 National Survey Results, Future Fuels Co-operative Research Centre. Available from: </w:t>
      </w:r>
      <w:hyperlink r:id="rId57" w:history="1">
        <w:r w:rsidR="005442AE" w:rsidRPr="00B811BF">
          <w:rPr>
            <w:rStyle w:val="Hyperlink"/>
          </w:rPr>
          <w:t>https://www.futurefuelscrc.com/wp-content/uploads/FFCRC_RP2.1-02_Public-perceptions-of-hydrogen_National-survey-report_June2021Final.pdf</w:t>
        </w:r>
      </w:hyperlink>
      <w:r w:rsidR="005442AE">
        <w:t xml:space="preserve"> </w:t>
      </w:r>
      <w:r w:rsidRPr="001962EF">
        <w:t xml:space="preserve"> [Accessed 18 August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McGreevy, M., MacDougall, C., Fisher, M., Henley, M., Baum, F., 2021. Expediting a renewable energy transition in a privatised market via public policy: The case of South Australia 2004-18. Energy Pol. 148, 111940. </w:t>
      </w:r>
      <w:hyperlink r:id="rId58" w:history="1">
        <w:r w:rsidR="005442AE" w:rsidRPr="00B811BF">
          <w:rPr>
            <w:rStyle w:val="Hyperlink"/>
          </w:rPr>
          <w:t>https://doi.org/10.1016/j.enpol.2020.111940</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Measham, T., McCrea, R., Poruschi, L., Walton, A., O'Sullivan, D., 2021. The role of large-scale solar in transitioning to a low carbon energy system: Social and economic issues and an emerging research agenda, CSIRO, Brisbane, Australia. Available from: </w:t>
      </w:r>
      <w:hyperlink r:id="rId59" w:history="1">
        <w:r w:rsidR="005442AE" w:rsidRPr="00B811BF">
          <w:rPr>
            <w:rStyle w:val="Hyperlink"/>
          </w:rPr>
          <w:t>https://doi.org/10.25919/ndrm-9v11</w:t>
        </w:r>
      </w:hyperlink>
      <w:r w:rsidR="005442AE">
        <w:t xml:space="preserve"> </w:t>
      </w:r>
      <w:r w:rsidRPr="001962EF">
        <w:t>[Accessed 28 January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Milani, D., Kiani, A., McNaughton, R., 2020. Renewable-powered hydrogen economy from Australia's perspective. Int. J. Hydrog. Energy 45, 24125-24145. </w:t>
      </w:r>
      <w:hyperlink r:id="rId60" w:history="1">
        <w:r w:rsidR="005442AE" w:rsidRPr="00B811BF">
          <w:rPr>
            <w:rStyle w:val="Hyperlink"/>
          </w:rPr>
          <w:t>https://doi.org/10.1016/j.ijhydene.2020.06.041</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Montijn-Dorgelo, F.N.H., Midden, C.J.H., 2008. The role of negative associations and trust in risk perception of new hydrogen systems. J. Risk Res. 11, 659-671. </w:t>
      </w:r>
      <w:hyperlink r:id="rId61" w:history="1">
        <w:r w:rsidR="005442AE" w:rsidRPr="00B811BF">
          <w:rPr>
            <w:rStyle w:val="Hyperlink"/>
          </w:rPr>
          <w:t>https://doi.org/10.1080/13669870801967218</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Mu, J.E., Antle, J.M., Abatzoglou, J.T., 2019. Representative agricultural pathways, climate change, and agricultural land uses: an application to the Pacific Northwest of the USA. Mitig Adapt Strateg Glob Chang 24, 819-837. </w:t>
      </w:r>
      <w:hyperlink r:id="rId62" w:history="1">
        <w:r w:rsidR="005442AE" w:rsidRPr="00B811BF">
          <w:rPr>
            <w:rStyle w:val="Hyperlink"/>
          </w:rPr>
          <w:t>https://doi.org/10.1007/s11027-018-9834-8</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Mu, J.H.E., McCarl, B.A., Sleeter, B., Abatzoglou, J.T., Zhang, H.L., 2018. Adaptation with climate uncertainty: An examination of agricultural land use in the United States. Land Use Policy 77, 392-401. </w:t>
      </w:r>
      <w:hyperlink r:id="rId63" w:history="1">
        <w:r w:rsidR="005442AE" w:rsidRPr="00B811BF">
          <w:rPr>
            <w:rStyle w:val="Hyperlink"/>
          </w:rPr>
          <w:t>https://doi.org/10.1016/j.landusepol.2018.05.057</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Mullahy, J., 2015. Multivariate Fractional Regression Estimation of Econometric Share Models. J. Econom. Methods 4, 71-100. </w:t>
      </w:r>
      <w:hyperlink r:id="rId64" w:history="1">
        <w:r w:rsidR="005442AE" w:rsidRPr="00B811BF">
          <w:rPr>
            <w:rStyle w:val="Hyperlink"/>
          </w:rPr>
          <w:t>https://doi.org/10.1515/jem-2012-0006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Mullahy, J., Robert, S.A., 2010. No time to lose: time constraints and physical activity in the production of health. Rev. Econ. Househ. 8, 409-432. </w:t>
      </w:r>
      <w:hyperlink r:id="rId65" w:history="1">
        <w:r w:rsidR="005442AE" w:rsidRPr="00B811BF">
          <w:rPr>
            <w:rStyle w:val="Hyperlink"/>
          </w:rPr>
          <w:t>https://doi.org/10.1007/s11150-010-9091-4</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Mullen, P.M., 1999. Public involvement in health care priority setting: an overview of methods for eliciting values. Health Expect. 2, 222-234. </w:t>
      </w:r>
      <w:hyperlink r:id="rId66" w:history="1">
        <w:r w:rsidR="005442AE" w:rsidRPr="00B811BF">
          <w:rPr>
            <w:rStyle w:val="Hyperlink"/>
          </w:rPr>
          <w:t>https://doi.org/10.1046/j.1369-6513.1999.00062.x</w:t>
        </w:r>
      </w:hyperlink>
      <w:r w:rsidRPr="001962EF">
        <w:t>.</w:t>
      </w:r>
    </w:p>
    <w:p w:rsidR="001B0C4A" w:rsidRDefault="001B0C4A" w:rsidP="005442AE">
      <w:pPr>
        <w:pStyle w:val="EndNoteBibliography"/>
        <w:spacing w:after="0"/>
        <w:ind w:left="567" w:hanging="567"/>
      </w:pPr>
      <w:r w:rsidRPr="001962EF">
        <w:lastRenderedPageBreak/>
        <w:t xml:space="preserve">Muller, F., Saddler, H., Melville-Rea, H., 2021. Carbon Border Adjustments: What are they and how will they impact Australia?, Discussion paper, The Australia Institute. Available from: </w:t>
      </w:r>
      <w:hyperlink r:id="rId67" w:history="1">
        <w:r w:rsidR="005442AE" w:rsidRPr="00B811BF">
          <w:rPr>
            <w:rStyle w:val="Hyperlink"/>
          </w:rPr>
          <w:t>https://australiainstitute.org.au/wp-content/uploads/2021/06/P1031-Carbon-Border-AdjustmentsWEB.pdf</w:t>
        </w:r>
      </w:hyperlink>
      <w:r w:rsidR="005442AE">
        <w:t xml:space="preserve"> </w:t>
      </w:r>
      <w:r w:rsidRPr="001962EF">
        <w:t>[Accessed 11 August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O’Garra, T., Mourato, S., 2007. Public Preferences for Hydrogen Buses: Comparing Interval Data, OLS and Quantile Regression Approaches. Environ. Resour. Econ. 36, 389-411. </w:t>
      </w:r>
      <w:hyperlink r:id="rId68" w:history="1">
        <w:r w:rsidR="005442AE" w:rsidRPr="00B811BF">
          <w:rPr>
            <w:rStyle w:val="Hyperlink"/>
          </w:rPr>
          <w:t>https://doi.org/10.1007/s10640-006-9024-0</w:t>
        </w:r>
      </w:hyperlink>
      <w:r w:rsidRPr="001962EF">
        <w:t>.</w:t>
      </w:r>
    </w:p>
    <w:p w:rsidR="005442AE" w:rsidRPr="001962EF" w:rsidRDefault="005442AE" w:rsidP="005442AE">
      <w:pPr>
        <w:pStyle w:val="EndNoteBibliography"/>
        <w:spacing w:after="0"/>
        <w:ind w:left="567" w:hanging="567"/>
      </w:pPr>
    </w:p>
    <w:p w:rsidR="005442AE" w:rsidRDefault="001B0C4A" w:rsidP="005442AE">
      <w:pPr>
        <w:pStyle w:val="EndNoteBibliography"/>
        <w:spacing w:after="0"/>
        <w:ind w:left="567" w:hanging="567"/>
      </w:pPr>
      <w:r w:rsidRPr="001962EF">
        <w:t xml:space="preserve">O’Garra, T., Mourato, S., Pearson, P., 2008. Investigating attitudes to hydrogen refuelling facilities and the social cost to local residents. Energy Pol. 36, 2074-2085. </w:t>
      </w:r>
      <w:hyperlink r:id="rId69" w:history="1">
        <w:r w:rsidR="005442AE" w:rsidRPr="00B811BF">
          <w:rPr>
            <w:rStyle w:val="Hyperlink"/>
          </w:rPr>
          <w:t>https://doi.org/10.1016/j.enpol.2008.02.026</w:t>
        </w:r>
      </w:hyperlink>
      <w:r w:rsidRPr="001962EF">
        <w:t>.</w:t>
      </w:r>
    </w:p>
    <w:p w:rsidR="005442AE"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Ostfeld, R., Reiner, D.M., 2020. Public views of Scotland's path to decarbonization: Evidence from citizens' juries and focus groups. Energy Pol. 140, 111332. </w:t>
      </w:r>
      <w:hyperlink r:id="rId70" w:history="1">
        <w:r w:rsidR="005442AE" w:rsidRPr="00B811BF">
          <w:rPr>
            <w:rStyle w:val="Hyperlink"/>
          </w:rPr>
          <w:t>https://doi.org/10.1016/j.enpol.2020.111332</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Papke, L.E., Wooldridge, J.M., 1996. Econometric methods for fractional response variables with an application to 401(k) plan participation rates. J. Appl. Econom. 11, 619-632. </w:t>
      </w:r>
      <w:hyperlink r:id="rId71" w:history="1">
        <w:r w:rsidR="005442AE" w:rsidRPr="00B811BF">
          <w:rPr>
            <w:rStyle w:val="Hyperlink"/>
          </w:rPr>
          <w:t>https://doi.org/10.1002/(Sici)1099-1255(199611)11:6&lt;619::Aid-Jae418&gt;3.0.Co;2-1</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Papke, L.E., Wooldridge, J.M., 2008. Panel data methods for fractional response variables with an application to test pass rates. J. Econom. 145, 121-133. </w:t>
      </w:r>
      <w:hyperlink r:id="rId72" w:history="1">
        <w:r w:rsidR="005442AE" w:rsidRPr="00B811BF">
          <w:rPr>
            <w:rStyle w:val="Hyperlink"/>
          </w:rPr>
          <w:t>https://doi.org/10.1016/j.jeconom.2008.05.009</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Prime Minister of Australia, 2021. Australia and Germany partner on hydrogen initiatives, Media release, 13 June 2021, Prime Minister, Minister for Energy and Emissions Reduction, Australian Government, Canberra. Available from: </w:t>
      </w:r>
      <w:hyperlink r:id="rId73" w:history="1">
        <w:r w:rsidR="005442AE" w:rsidRPr="00B811BF">
          <w:rPr>
            <w:rStyle w:val="Hyperlink"/>
          </w:rPr>
          <w:t>https://www.pm.gov.au/media/australia-and-germany-partner-hydrogen-initiatives</w:t>
        </w:r>
      </w:hyperlink>
      <w:r w:rsidR="005442AE">
        <w:t xml:space="preserve"> </w:t>
      </w:r>
      <w:r w:rsidRPr="001962EF">
        <w:t>[Accessed 23 June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Ram, M., Aghahosseini, A., Breyer, C., 2020. Job creation during the global energy transition towards 100% renewable power system by 2050. Technol. Forecast. Soc. Change 151, 119682. </w:t>
      </w:r>
      <w:hyperlink r:id="rId74" w:history="1">
        <w:r w:rsidR="005442AE" w:rsidRPr="00B811BF">
          <w:rPr>
            <w:rStyle w:val="Hyperlink"/>
          </w:rPr>
          <w:t>https://doi.org/10.1016/j.techfore.2019.06.008</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Ricci, M., Bellaby, P., Flynn, R., 2008. What do we know about public perceptions and acceptance of hydrogen? A critical review and new case study evidence. Int. J. Hydrog. Energy 33, 5868-5880. </w:t>
      </w:r>
      <w:hyperlink r:id="rId75" w:history="1">
        <w:r w:rsidR="005442AE" w:rsidRPr="00B811BF">
          <w:rPr>
            <w:rStyle w:val="Hyperlink"/>
          </w:rPr>
          <w:t>https://doi.org/10.1016/j.ijhydene.2008.07.106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Richert, C., Rogers, A., Burton, M., 2015. Measuring the extent of a Social License to Operate: The influence of marine biodiversity offsets in the oil and gas sector in Western Australia. Resour. Policy 43, 121-129. </w:t>
      </w:r>
      <w:hyperlink r:id="rId76" w:history="1">
        <w:r w:rsidR="005442AE" w:rsidRPr="00B811BF">
          <w:rPr>
            <w:rStyle w:val="Hyperlink"/>
          </w:rPr>
          <w:t>https://doi.org/10.1016/j.resourpol.2014.12.001</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Rigas, F., Amyotte, P., 2012. Hydrogen Safety. CRC Press, Boca Raton, United States. </w:t>
      </w:r>
      <w:hyperlink r:id="rId77" w:history="1">
        <w:r w:rsidR="005442AE" w:rsidRPr="00B811BF">
          <w:rPr>
            <w:rStyle w:val="Hyperlink"/>
          </w:rPr>
          <w:t>https://doi.org/10.1201/b12267</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Ryan, M., Scott, D.A., Reeves, C., Bate, A., van Teijlingen, E.R., Russell, E.M., Napper, M., Robb, C.M., 2001. Eliciting public preferences for healthcare: a systematic review of techniques. Health Technol. Assess. 5. </w:t>
      </w:r>
      <w:hyperlink r:id="rId78" w:history="1">
        <w:r w:rsidR="005442AE" w:rsidRPr="00B811BF">
          <w:rPr>
            <w:rStyle w:val="Hyperlink"/>
          </w:rPr>
          <w:t>https://doi.org/10.3310/hta5050</w:t>
        </w:r>
      </w:hyperlink>
      <w:r w:rsidRPr="001962EF">
        <w:t>.</w:t>
      </w:r>
    </w:p>
    <w:p w:rsidR="005442AE" w:rsidRPr="001962EF" w:rsidRDefault="005442AE" w:rsidP="005442AE">
      <w:pPr>
        <w:pStyle w:val="EndNoteBibliography"/>
        <w:spacing w:after="0"/>
        <w:ind w:left="567" w:hanging="567"/>
      </w:pPr>
    </w:p>
    <w:p w:rsidR="001B0C4A" w:rsidRPr="001962EF" w:rsidRDefault="001B0C4A" w:rsidP="005442AE">
      <w:pPr>
        <w:pStyle w:val="EndNoteBibliography"/>
        <w:spacing w:after="0"/>
        <w:ind w:left="567" w:hanging="567"/>
      </w:pPr>
      <w:r w:rsidRPr="001962EF">
        <w:t xml:space="preserve">Schmidt, A., Donsbach, W., 2016. Acceptance factors of hydrogen and their use by relevant stakeholders and the media. Int. J. Hydrog. Energy 41, 4509-4520. </w:t>
      </w:r>
      <w:hyperlink r:id="rId79" w:history="1">
        <w:r w:rsidR="005442AE" w:rsidRPr="00B811BF">
          <w:rPr>
            <w:rStyle w:val="Hyperlink"/>
          </w:rPr>
          <w:t>https://doi.org/10.1016/j.ijhydene.2016.01.058</w:t>
        </w:r>
      </w:hyperlink>
      <w:r w:rsidRPr="001962EF">
        <w:t>.</w:t>
      </w:r>
      <w:r w:rsidR="005442AE">
        <w:t xml:space="preserve"> </w:t>
      </w:r>
    </w:p>
    <w:p w:rsidR="001B0C4A" w:rsidRDefault="001B0C4A" w:rsidP="005442AE">
      <w:pPr>
        <w:pStyle w:val="EndNoteBibliography"/>
        <w:spacing w:after="0"/>
        <w:ind w:left="567" w:hanging="567"/>
      </w:pPr>
      <w:r w:rsidRPr="001962EF">
        <w:lastRenderedPageBreak/>
        <w:t xml:space="preserve">Schulte, I., Hart, D., van der Vorst, R., 2004. Issues affecting the acceptance of hydrogen fuel. Int. J. Hydrog. Energy 29, 677-685. </w:t>
      </w:r>
      <w:hyperlink r:id="rId80" w:history="1">
        <w:r w:rsidR="005442AE" w:rsidRPr="00B811BF">
          <w:rPr>
            <w:rStyle w:val="Hyperlink"/>
          </w:rPr>
          <w:t>https://doi.org/10.1016/j.ijhydene.2003.09.006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Scott, M., Powells, G., 2020. Towards a new social science research agenda for hydrogen transitions: Social practices, energy justice, and place attachment. Energy Res. Soc. Sci. 61, 101346. </w:t>
      </w:r>
      <w:hyperlink r:id="rId81" w:history="1">
        <w:r w:rsidR="005442AE" w:rsidRPr="00B811BF">
          <w:rPr>
            <w:rStyle w:val="Hyperlink"/>
          </w:rPr>
          <w:t>https://doi.org/10.1016/j.erss.2019.101346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Sharma, A., Banerjee, R., 2021. Framework to analyze the spatial distribution of the labor impacts of clean energy transitions. Energy Pol. 150, 112158. </w:t>
      </w:r>
      <w:hyperlink r:id="rId82" w:history="1">
        <w:r w:rsidR="005442AE" w:rsidRPr="00B811BF">
          <w:rPr>
            <w:rStyle w:val="Hyperlink"/>
          </w:rPr>
          <w:t>https://doi.org/10.1016/j.enpol.2021.112158</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Thesen, G., Langhelle, O., 2008. Awareness, acceptability and attitudes towards hydrogen vehicles and filling stations: A Greater Stavanger case study and comparisons with London. Int. J. Hydrog. Energy 33, 5859-5867. </w:t>
      </w:r>
      <w:hyperlink r:id="rId83" w:history="1">
        <w:r w:rsidR="005442AE" w:rsidRPr="00B811BF">
          <w:rPr>
            <w:rStyle w:val="Hyperlink"/>
          </w:rPr>
          <w:t>https://doi.org/10.1016/j.ijhydene.2008.07.006</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Unruh, G.C., 2002. Escaping carbon lock-in. Energy Pol. 30, 317-325. </w:t>
      </w:r>
      <w:hyperlink r:id="rId84" w:history="1">
        <w:r w:rsidR="005442AE" w:rsidRPr="00B811BF">
          <w:rPr>
            <w:rStyle w:val="Hyperlink"/>
          </w:rPr>
          <w:t>https://doi.org/10.1016/S0301-4215(01)00098-2</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Victorian State Government, 2019. Green Hydrogen Discussion Paper, Victorian Hydrogen Investment Program, Available from: </w:t>
      </w:r>
      <w:hyperlink r:id="rId85" w:history="1">
        <w:r w:rsidR="005442AE" w:rsidRPr="00B811BF">
          <w:rPr>
            <w:rStyle w:val="Hyperlink"/>
          </w:rPr>
          <w:t>https://engage.vic.gov.au/vhip</w:t>
        </w:r>
      </w:hyperlink>
      <w:r w:rsidR="005442AE">
        <w:t xml:space="preserve"> </w:t>
      </w:r>
      <w:r w:rsidRPr="001962EF">
        <w:t>[Accessed 15 April 2020].</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Willand, N., Horne, R., 2018. "They are grinding us into the ground" - The lived experience of (in)energy justice amongst low-income older households. Appl. Energy 226, 61-70. </w:t>
      </w:r>
      <w:hyperlink r:id="rId86" w:history="1">
        <w:r w:rsidR="005442AE" w:rsidRPr="00B811BF">
          <w:rPr>
            <w:rStyle w:val="Hyperlink"/>
          </w:rPr>
          <w:t>https://doi.org/10.1016/j.apenergy.2018.05.079</w:t>
        </w:r>
      </w:hyperlink>
      <w:r w:rsidRPr="001962EF">
        <w:t>.</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World Energy Council, 2020. World Energy Trilemma Index 2020, Report prepared by World Energy Council in partnership with Olivery Wyman. Available from: </w:t>
      </w:r>
      <w:hyperlink r:id="rId87" w:history="1">
        <w:r w:rsidR="005442AE" w:rsidRPr="00B811BF">
          <w:rPr>
            <w:rStyle w:val="Hyperlink"/>
          </w:rPr>
          <w:t>https://www.worldenergy.org/publications/entry/world-energy-trilemma-index-2020</w:t>
        </w:r>
      </w:hyperlink>
      <w:r w:rsidR="005442AE">
        <w:t xml:space="preserve"> </w:t>
      </w:r>
      <w:r w:rsidRPr="001962EF">
        <w:t>[Accessed 10 June 2021].</w:t>
      </w:r>
    </w:p>
    <w:p w:rsidR="005442AE" w:rsidRPr="001962EF" w:rsidRDefault="005442AE" w:rsidP="005442AE">
      <w:pPr>
        <w:pStyle w:val="EndNoteBibliography"/>
        <w:spacing w:after="0"/>
        <w:ind w:left="567" w:hanging="567"/>
      </w:pPr>
    </w:p>
    <w:p w:rsidR="001B0C4A" w:rsidRDefault="001B0C4A" w:rsidP="005442AE">
      <w:pPr>
        <w:pStyle w:val="EndNoteBibliography"/>
        <w:spacing w:after="0"/>
        <w:ind w:left="567" w:hanging="567"/>
      </w:pPr>
      <w:r w:rsidRPr="001962EF">
        <w:t xml:space="preserve">Zimmer, R., Welke, J., 2012. Let’s go green with hydrogen! The general public’s perspective. Int. J. Hydrog. Energy 37, 17502–17508. </w:t>
      </w:r>
      <w:hyperlink r:id="rId88" w:history="1">
        <w:r w:rsidR="005442AE" w:rsidRPr="00B811BF">
          <w:rPr>
            <w:rStyle w:val="Hyperlink"/>
          </w:rPr>
          <w:t>https://doi.org/10.1016/j.ijhydene.2012.02.126</w:t>
        </w:r>
      </w:hyperlink>
      <w:r w:rsidRPr="001962EF">
        <w:t>.</w:t>
      </w:r>
      <w:r w:rsidR="005442AE">
        <w:t xml:space="preserve"> </w:t>
      </w:r>
    </w:p>
    <w:p w:rsidR="00716B88" w:rsidRDefault="00716B88"/>
    <w:sectPr w:rsidR="00716B88" w:rsidSect="008D05D7">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33F00">
      <w:pPr>
        <w:spacing w:after="0" w:line="240" w:lineRule="auto"/>
      </w:pPr>
      <w:r>
        <w:separator/>
      </w:r>
    </w:p>
  </w:endnote>
  <w:endnote w:type="continuationSeparator" w:id="0">
    <w:p w:rsidR="00000000" w:rsidRDefault="0083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3030234"/>
      <w:docPartObj>
        <w:docPartGallery w:val="Page Numbers (Bottom of Page)"/>
        <w:docPartUnique/>
      </w:docPartObj>
    </w:sdtPr>
    <w:sdtEndPr>
      <w:rPr>
        <w:noProof/>
      </w:rPr>
    </w:sdtEndPr>
    <w:sdtContent>
      <w:p w:rsidR="00E4218A" w:rsidRDefault="005442AE">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rsidR="00E4218A" w:rsidRDefault="00833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33F00">
      <w:pPr>
        <w:spacing w:after="0" w:line="240" w:lineRule="auto"/>
      </w:pPr>
      <w:r>
        <w:separator/>
      </w:r>
    </w:p>
  </w:footnote>
  <w:footnote w:type="continuationSeparator" w:id="0">
    <w:p w:rsidR="00000000" w:rsidRDefault="00833F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1CCB"/>
    <w:multiLevelType w:val="hybridMultilevel"/>
    <w:tmpl w:val="8ADCB928"/>
    <w:lvl w:ilvl="0" w:tplc="3F389598">
      <w:start w:val="19"/>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26492"/>
    <w:multiLevelType w:val="hybridMultilevel"/>
    <w:tmpl w:val="16B80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5523"/>
    <w:multiLevelType w:val="multilevel"/>
    <w:tmpl w:val="E4DE98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7F2163"/>
    <w:multiLevelType w:val="hybridMultilevel"/>
    <w:tmpl w:val="FF1C90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5F58A3"/>
    <w:multiLevelType w:val="hybridMultilevel"/>
    <w:tmpl w:val="67243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A38F3"/>
    <w:multiLevelType w:val="multilevel"/>
    <w:tmpl w:val="E4DE98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0D1E50"/>
    <w:multiLevelType w:val="hybridMultilevel"/>
    <w:tmpl w:val="4CDE5EDA"/>
    <w:lvl w:ilvl="0" w:tplc="F302398E">
      <w:start w:val="1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600182"/>
    <w:multiLevelType w:val="multilevel"/>
    <w:tmpl w:val="160621E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5F0296C"/>
    <w:multiLevelType w:val="hybridMultilevel"/>
    <w:tmpl w:val="2312D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F83269"/>
    <w:multiLevelType w:val="hybridMultilevel"/>
    <w:tmpl w:val="CB96C0C6"/>
    <w:lvl w:ilvl="0" w:tplc="0C1E32D6">
      <w:start w:val="5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AB7102"/>
    <w:multiLevelType w:val="multilevel"/>
    <w:tmpl w:val="75B4F7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AFC1892"/>
    <w:multiLevelType w:val="hybridMultilevel"/>
    <w:tmpl w:val="5184CA82"/>
    <w:lvl w:ilvl="0" w:tplc="EC3ECCDA">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4A819E0"/>
    <w:multiLevelType w:val="hybridMultilevel"/>
    <w:tmpl w:val="0DFCF764"/>
    <w:lvl w:ilvl="0" w:tplc="FF3439CE">
      <w:start w:val="4"/>
      <w:numFmt w:val="bullet"/>
      <w:lvlText w:val=""/>
      <w:lvlJc w:val="left"/>
      <w:pPr>
        <w:ind w:left="720" w:hanging="36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C51004"/>
    <w:multiLevelType w:val="hybridMultilevel"/>
    <w:tmpl w:val="371C7492"/>
    <w:lvl w:ilvl="0" w:tplc="6E3C4B54">
      <w:start w:val="1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F10A59"/>
    <w:multiLevelType w:val="hybridMultilevel"/>
    <w:tmpl w:val="7C4CF414"/>
    <w:lvl w:ilvl="0" w:tplc="6C0A3CDE">
      <w:start w:val="1"/>
      <w:numFmt w:val="decimal"/>
      <w:lvlText w:val="(%1)"/>
      <w:lvlJc w:val="left"/>
      <w:pPr>
        <w:ind w:left="778" w:hanging="360"/>
      </w:pPr>
      <w:rPr>
        <w:rFonts w:ascii="Arial" w:eastAsiaTheme="minorHAnsi" w:hAnsi="Arial" w:cs="Arial"/>
        <w:b w:val="0"/>
      </w:rPr>
    </w:lvl>
    <w:lvl w:ilvl="1" w:tplc="05666118">
      <w:numFmt w:val="bullet"/>
      <w:lvlText w:val="•"/>
      <w:lvlJc w:val="left"/>
      <w:pPr>
        <w:ind w:left="1858" w:hanging="720"/>
      </w:pPr>
      <w:rPr>
        <w:rFonts w:ascii="Arial" w:eastAsia="Times New Roman" w:hAnsi="Arial" w:cs="Arial"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5" w15:restartNumberingAfterBreak="0">
    <w:nsid w:val="524025F0"/>
    <w:multiLevelType w:val="hybridMultilevel"/>
    <w:tmpl w:val="95789FDE"/>
    <w:lvl w:ilvl="0" w:tplc="3F389598">
      <w:start w:val="19"/>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BC21C0"/>
    <w:multiLevelType w:val="hybridMultilevel"/>
    <w:tmpl w:val="EED4B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0C61A6"/>
    <w:multiLevelType w:val="multilevel"/>
    <w:tmpl w:val="75B4F7C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FFC681B"/>
    <w:multiLevelType w:val="hybridMultilevel"/>
    <w:tmpl w:val="5EF0B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2C1B01"/>
    <w:multiLevelType w:val="hybridMultilevel"/>
    <w:tmpl w:val="69DA2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5707B5"/>
    <w:multiLevelType w:val="hybridMultilevel"/>
    <w:tmpl w:val="F244B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55544F"/>
    <w:multiLevelType w:val="multilevel"/>
    <w:tmpl w:val="0EFC21A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EB252D7"/>
    <w:multiLevelType w:val="hybridMultilevel"/>
    <w:tmpl w:val="66B22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CD2E1B"/>
    <w:multiLevelType w:val="multilevel"/>
    <w:tmpl w:val="160621E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4"/>
  </w:num>
  <w:num w:numId="3">
    <w:abstractNumId w:val="9"/>
  </w:num>
  <w:num w:numId="4">
    <w:abstractNumId w:val="8"/>
  </w:num>
  <w:num w:numId="5">
    <w:abstractNumId w:val="4"/>
  </w:num>
  <w:num w:numId="6">
    <w:abstractNumId w:val="19"/>
  </w:num>
  <w:num w:numId="7">
    <w:abstractNumId w:val="6"/>
  </w:num>
  <w:num w:numId="8">
    <w:abstractNumId w:val="13"/>
  </w:num>
  <w:num w:numId="9">
    <w:abstractNumId w:val="15"/>
  </w:num>
  <w:num w:numId="10">
    <w:abstractNumId w:val="0"/>
  </w:num>
  <w:num w:numId="11">
    <w:abstractNumId w:val="3"/>
  </w:num>
  <w:num w:numId="12">
    <w:abstractNumId w:val="12"/>
  </w:num>
  <w:num w:numId="13">
    <w:abstractNumId w:val="22"/>
  </w:num>
  <w:num w:numId="14">
    <w:abstractNumId w:val="11"/>
  </w:num>
  <w:num w:numId="15">
    <w:abstractNumId w:val="1"/>
  </w:num>
  <w:num w:numId="16">
    <w:abstractNumId w:val="20"/>
  </w:num>
  <w:num w:numId="17">
    <w:abstractNumId w:val="18"/>
  </w:num>
  <w:num w:numId="18">
    <w:abstractNumId w:val="21"/>
  </w:num>
  <w:num w:numId="19">
    <w:abstractNumId w:val="23"/>
  </w:num>
  <w:num w:numId="20">
    <w:abstractNumId w:val="16"/>
  </w:num>
  <w:num w:numId="21">
    <w:abstractNumId w:val="10"/>
  </w:num>
  <w:num w:numId="22">
    <w:abstractNumId w:val="7"/>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B0C4A"/>
    <w:rsid w:val="000A71D8"/>
    <w:rsid w:val="001B0C4A"/>
    <w:rsid w:val="001C562C"/>
    <w:rsid w:val="004971C2"/>
    <w:rsid w:val="005442AE"/>
    <w:rsid w:val="005B53F8"/>
    <w:rsid w:val="00716B88"/>
    <w:rsid w:val="00833F00"/>
    <w:rsid w:val="008667D5"/>
    <w:rsid w:val="00891781"/>
    <w:rsid w:val="009F3A05"/>
    <w:rsid w:val="00DB0ED1"/>
    <w:rsid w:val="00E76286"/>
    <w:rsid w:val="00F02235"/>
    <w:rsid w:val="00F15999"/>
    <w:rsid w:val="00FA67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2B51B-87C6-420D-B660-772F2458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4A"/>
    <w:rPr>
      <w:rFonts w:eastAsia="SimSun"/>
    </w:rPr>
  </w:style>
  <w:style w:type="paragraph" w:styleId="Heading1">
    <w:name w:val="heading 1"/>
    <w:basedOn w:val="Normal"/>
    <w:next w:val="Normal"/>
    <w:link w:val="Heading1Char"/>
    <w:uiPriority w:val="9"/>
    <w:qFormat/>
    <w:rsid w:val="00F0223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B0C4A"/>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1B0C4A"/>
    <w:pPr>
      <w:keepNext/>
      <w:keepLines/>
      <w:spacing w:before="40" w:after="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C4A"/>
    <w:rPr>
      <w:rFonts w:eastAsiaTheme="majorEastAsia" w:cstheme="majorBidi"/>
      <w:sz w:val="26"/>
      <w:szCs w:val="26"/>
    </w:rPr>
  </w:style>
  <w:style w:type="paragraph" w:styleId="Caption">
    <w:name w:val="caption"/>
    <w:basedOn w:val="Normal"/>
    <w:next w:val="Normal"/>
    <w:uiPriority w:val="35"/>
    <w:unhideWhenUsed/>
    <w:qFormat/>
    <w:rsid w:val="001B0C4A"/>
    <w:pPr>
      <w:spacing w:after="200" w:line="240" w:lineRule="auto"/>
    </w:pPr>
    <w:rPr>
      <w:iCs/>
      <w:szCs w:val="18"/>
    </w:rPr>
  </w:style>
  <w:style w:type="character" w:customStyle="1" w:styleId="Heading3Char">
    <w:name w:val="Heading 3 Char"/>
    <w:basedOn w:val="DefaultParagraphFont"/>
    <w:link w:val="Heading3"/>
    <w:uiPriority w:val="9"/>
    <w:rsid w:val="001B0C4A"/>
    <w:rPr>
      <w:rFonts w:eastAsiaTheme="majorEastAsia" w:cstheme="majorBidi"/>
      <w:sz w:val="24"/>
      <w:szCs w:val="24"/>
    </w:rPr>
  </w:style>
  <w:style w:type="character" w:customStyle="1" w:styleId="Heading1Char">
    <w:name w:val="Heading 1 Char"/>
    <w:basedOn w:val="DefaultParagraphFont"/>
    <w:link w:val="Heading1"/>
    <w:uiPriority w:val="9"/>
    <w:rsid w:val="00F02235"/>
    <w:rPr>
      <w:rFonts w:eastAsiaTheme="majorEastAsia" w:cstheme="majorBidi"/>
      <w:b/>
      <w:sz w:val="32"/>
      <w:szCs w:val="32"/>
    </w:rPr>
  </w:style>
  <w:style w:type="paragraph" w:customStyle="1" w:styleId="Caption1">
    <w:name w:val="Caption 1"/>
    <w:basedOn w:val="Normal"/>
    <w:qFormat/>
    <w:rsid w:val="008667D5"/>
    <w:pPr>
      <w:spacing w:before="40" w:after="0" w:line="240" w:lineRule="auto"/>
    </w:pPr>
    <w:rPr>
      <w:rFonts w:eastAsia="MS Mincho" w:cs="Times New Roman"/>
      <w:szCs w:val="24"/>
    </w:rPr>
  </w:style>
  <w:style w:type="paragraph" w:customStyle="1" w:styleId="EndNoteBibliographyTitle">
    <w:name w:val="EndNote Bibliography Title"/>
    <w:basedOn w:val="Normal"/>
    <w:link w:val="EndNoteBibliographyTitleChar"/>
    <w:rsid w:val="001B0C4A"/>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1B0C4A"/>
    <w:rPr>
      <w:rFonts w:eastAsia="SimSun"/>
      <w:noProof/>
      <w:lang w:val="en-US"/>
    </w:rPr>
  </w:style>
  <w:style w:type="paragraph" w:customStyle="1" w:styleId="EndNoteBibliography">
    <w:name w:val="EndNote Bibliography"/>
    <w:basedOn w:val="Normal"/>
    <w:link w:val="EndNoteBibliographyChar"/>
    <w:rsid w:val="001B0C4A"/>
    <w:pPr>
      <w:spacing w:line="240" w:lineRule="auto"/>
    </w:pPr>
    <w:rPr>
      <w:noProof/>
      <w:lang w:val="en-US"/>
    </w:rPr>
  </w:style>
  <w:style w:type="character" w:customStyle="1" w:styleId="EndNoteBibliographyChar">
    <w:name w:val="EndNote Bibliography Char"/>
    <w:basedOn w:val="DefaultParagraphFont"/>
    <w:link w:val="EndNoteBibliography"/>
    <w:rsid w:val="001B0C4A"/>
    <w:rPr>
      <w:rFonts w:eastAsia="SimSun"/>
      <w:noProof/>
      <w:lang w:val="en-US"/>
    </w:rPr>
  </w:style>
  <w:style w:type="character" w:styleId="Hyperlink">
    <w:name w:val="Hyperlink"/>
    <w:basedOn w:val="DefaultParagraphFont"/>
    <w:uiPriority w:val="99"/>
    <w:unhideWhenUsed/>
    <w:rsid w:val="001B0C4A"/>
    <w:rPr>
      <w:color w:val="0563C1" w:themeColor="hyperlink"/>
      <w:u w:val="single"/>
    </w:rPr>
  </w:style>
  <w:style w:type="character" w:customStyle="1" w:styleId="UnresolvedMention1">
    <w:name w:val="Unresolved Mention1"/>
    <w:basedOn w:val="DefaultParagraphFont"/>
    <w:uiPriority w:val="99"/>
    <w:semiHidden/>
    <w:unhideWhenUsed/>
    <w:rsid w:val="001B0C4A"/>
    <w:rPr>
      <w:color w:val="605E5C"/>
      <w:shd w:val="clear" w:color="auto" w:fill="E1DFDD"/>
    </w:rPr>
  </w:style>
  <w:style w:type="table" w:styleId="TableGrid">
    <w:name w:val="Table Grid"/>
    <w:basedOn w:val="TableNormal"/>
    <w:uiPriority w:val="39"/>
    <w:rsid w:val="001B0C4A"/>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B0C4A"/>
    <w:pPr>
      <w:spacing w:after="0" w:line="240" w:lineRule="auto"/>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C4A"/>
    <w:pPr>
      <w:ind w:left="720"/>
      <w:contextualSpacing/>
    </w:pPr>
  </w:style>
  <w:style w:type="table" w:customStyle="1" w:styleId="TableGrid2">
    <w:name w:val="Table Grid2"/>
    <w:basedOn w:val="TableNormal"/>
    <w:next w:val="TableGrid"/>
    <w:uiPriority w:val="39"/>
    <w:rsid w:val="001B0C4A"/>
    <w:pPr>
      <w:spacing w:after="0" w:line="240" w:lineRule="auto"/>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0C4A"/>
    <w:rPr>
      <w:color w:val="808080"/>
    </w:rPr>
  </w:style>
  <w:style w:type="paragraph" w:styleId="PlainText">
    <w:name w:val="Plain Text"/>
    <w:basedOn w:val="Normal"/>
    <w:link w:val="PlainTextChar"/>
    <w:uiPriority w:val="99"/>
    <w:unhideWhenUsed/>
    <w:rsid w:val="001B0C4A"/>
    <w:pPr>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1B0C4A"/>
    <w:rPr>
      <w:rFonts w:ascii="Calibri" w:eastAsia="SimSun" w:hAnsi="Calibri" w:cstheme="minorBidi"/>
      <w:szCs w:val="21"/>
    </w:rPr>
  </w:style>
  <w:style w:type="character" w:styleId="SubtleReference">
    <w:name w:val="Subtle Reference"/>
    <w:basedOn w:val="DefaultParagraphFont"/>
    <w:uiPriority w:val="31"/>
    <w:qFormat/>
    <w:rsid w:val="001B0C4A"/>
    <w:rPr>
      <w:smallCaps/>
      <w:color w:val="5A5A5A" w:themeColor="text1" w:themeTint="A5"/>
    </w:rPr>
  </w:style>
  <w:style w:type="paragraph" w:styleId="Header">
    <w:name w:val="header"/>
    <w:basedOn w:val="Normal"/>
    <w:link w:val="HeaderChar"/>
    <w:uiPriority w:val="99"/>
    <w:unhideWhenUsed/>
    <w:rsid w:val="001B0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C4A"/>
    <w:rPr>
      <w:rFonts w:eastAsia="SimSun"/>
    </w:rPr>
  </w:style>
  <w:style w:type="paragraph" w:styleId="Footer">
    <w:name w:val="footer"/>
    <w:basedOn w:val="Normal"/>
    <w:link w:val="FooterChar"/>
    <w:uiPriority w:val="99"/>
    <w:unhideWhenUsed/>
    <w:rsid w:val="001B0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C4A"/>
    <w:rPr>
      <w:rFonts w:eastAsia="SimSun"/>
    </w:rPr>
  </w:style>
  <w:style w:type="paragraph" w:styleId="BalloonText">
    <w:name w:val="Balloon Text"/>
    <w:basedOn w:val="Normal"/>
    <w:link w:val="BalloonTextChar"/>
    <w:uiPriority w:val="99"/>
    <w:semiHidden/>
    <w:unhideWhenUsed/>
    <w:rsid w:val="001B0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C4A"/>
    <w:rPr>
      <w:rFonts w:ascii="Segoe UI" w:eastAsia="SimSun" w:hAnsi="Segoe UI" w:cs="Segoe UI"/>
      <w:sz w:val="18"/>
      <w:szCs w:val="18"/>
    </w:rPr>
  </w:style>
  <w:style w:type="table" w:customStyle="1" w:styleId="TableGrid3">
    <w:name w:val="Table Grid3"/>
    <w:basedOn w:val="TableNormal"/>
    <w:next w:val="TableGrid"/>
    <w:uiPriority w:val="39"/>
    <w:rsid w:val="001B0C4A"/>
    <w:pPr>
      <w:spacing w:after="0" w:line="240" w:lineRule="auto"/>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C4A"/>
    <w:rPr>
      <w:sz w:val="16"/>
      <w:szCs w:val="16"/>
    </w:rPr>
  </w:style>
  <w:style w:type="paragraph" w:styleId="CommentText">
    <w:name w:val="annotation text"/>
    <w:basedOn w:val="Normal"/>
    <w:link w:val="CommentTextChar"/>
    <w:uiPriority w:val="99"/>
    <w:semiHidden/>
    <w:unhideWhenUsed/>
    <w:rsid w:val="001B0C4A"/>
    <w:pPr>
      <w:spacing w:line="240" w:lineRule="auto"/>
    </w:pPr>
    <w:rPr>
      <w:sz w:val="20"/>
      <w:szCs w:val="20"/>
    </w:rPr>
  </w:style>
  <w:style w:type="character" w:customStyle="1" w:styleId="CommentTextChar">
    <w:name w:val="Comment Text Char"/>
    <w:basedOn w:val="DefaultParagraphFont"/>
    <w:link w:val="CommentText"/>
    <w:uiPriority w:val="99"/>
    <w:semiHidden/>
    <w:rsid w:val="001B0C4A"/>
    <w:rPr>
      <w:rFonts w:eastAsia="SimSun"/>
      <w:sz w:val="20"/>
      <w:szCs w:val="20"/>
    </w:rPr>
  </w:style>
  <w:style w:type="paragraph" w:styleId="CommentSubject">
    <w:name w:val="annotation subject"/>
    <w:basedOn w:val="CommentText"/>
    <w:next w:val="CommentText"/>
    <w:link w:val="CommentSubjectChar"/>
    <w:uiPriority w:val="99"/>
    <w:semiHidden/>
    <w:unhideWhenUsed/>
    <w:rsid w:val="001B0C4A"/>
    <w:rPr>
      <w:b/>
      <w:bCs/>
    </w:rPr>
  </w:style>
  <w:style w:type="character" w:customStyle="1" w:styleId="CommentSubjectChar">
    <w:name w:val="Comment Subject Char"/>
    <w:basedOn w:val="CommentTextChar"/>
    <w:link w:val="CommentSubject"/>
    <w:uiPriority w:val="99"/>
    <w:semiHidden/>
    <w:rsid w:val="001B0C4A"/>
    <w:rPr>
      <w:rFonts w:eastAsia="SimSun"/>
      <w:b/>
      <w:bCs/>
      <w:sz w:val="20"/>
      <w:szCs w:val="20"/>
    </w:rPr>
  </w:style>
  <w:style w:type="paragraph" w:styleId="NoSpacing">
    <w:name w:val="No Spacing"/>
    <w:uiPriority w:val="1"/>
    <w:qFormat/>
    <w:rsid w:val="001B0C4A"/>
    <w:pPr>
      <w:spacing w:after="0" w:line="240" w:lineRule="auto"/>
    </w:pPr>
    <w:rPr>
      <w:rFonts w:eastAsia="SimSun"/>
    </w:rPr>
  </w:style>
  <w:style w:type="character" w:styleId="FollowedHyperlink">
    <w:name w:val="FollowedHyperlink"/>
    <w:basedOn w:val="DefaultParagraphFont"/>
    <w:uiPriority w:val="99"/>
    <w:semiHidden/>
    <w:unhideWhenUsed/>
    <w:rsid w:val="001B0C4A"/>
    <w:rPr>
      <w:color w:val="954F72" w:themeColor="followedHyperlink"/>
      <w:u w:val="single"/>
    </w:rPr>
  </w:style>
  <w:style w:type="table" w:customStyle="1" w:styleId="TableGrid4">
    <w:name w:val="Table Grid4"/>
    <w:basedOn w:val="TableNormal"/>
    <w:next w:val="TableGrid"/>
    <w:uiPriority w:val="39"/>
    <w:rsid w:val="001B0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B0C4A"/>
    <w:rPr>
      <w:color w:val="605E5C"/>
      <w:shd w:val="clear" w:color="auto" w:fill="E1DFDD"/>
    </w:rPr>
  </w:style>
  <w:style w:type="paragraph" w:styleId="Revision">
    <w:name w:val="Revision"/>
    <w:hidden/>
    <w:uiPriority w:val="99"/>
    <w:semiHidden/>
    <w:rsid w:val="001B0C4A"/>
    <w:pPr>
      <w:spacing w:after="0" w:line="240" w:lineRule="auto"/>
    </w:pPr>
    <w:rPr>
      <w:rFonts w:eastAsia="SimSun"/>
    </w:rPr>
  </w:style>
  <w:style w:type="character" w:styleId="Emphasis">
    <w:name w:val="Emphasis"/>
    <w:basedOn w:val="DefaultParagraphFont"/>
    <w:uiPriority w:val="20"/>
    <w:qFormat/>
    <w:rsid w:val="001B0C4A"/>
    <w:rPr>
      <w:i/>
      <w:iCs/>
    </w:rPr>
  </w:style>
  <w:style w:type="character" w:styleId="Strong">
    <w:name w:val="Strong"/>
    <w:basedOn w:val="DefaultParagraphFont"/>
    <w:uiPriority w:val="22"/>
    <w:qFormat/>
    <w:rsid w:val="001B0C4A"/>
    <w:rPr>
      <w:b/>
      <w:bCs/>
    </w:rPr>
  </w:style>
  <w:style w:type="paragraph" w:customStyle="1" w:styleId="Default">
    <w:name w:val="Default"/>
    <w:rsid w:val="001B0C4A"/>
    <w:pPr>
      <w:autoSpaceDE w:val="0"/>
      <w:autoSpaceDN w:val="0"/>
      <w:adjustRightInd w:val="0"/>
      <w:spacing w:after="0" w:line="240" w:lineRule="auto"/>
    </w:pPr>
    <w:rPr>
      <w:rFonts w:ascii="Code" w:eastAsia="SimSun" w:hAnsi="Code" w:cs="Code"/>
      <w:color w:val="000000"/>
      <w:sz w:val="24"/>
      <w:szCs w:val="24"/>
    </w:rPr>
  </w:style>
  <w:style w:type="character" w:customStyle="1" w:styleId="UnresolvedMention3">
    <w:name w:val="Unresolved Mention3"/>
    <w:basedOn w:val="DefaultParagraphFont"/>
    <w:uiPriority w:val="99"/>
    <w:semiHidden/>
    <w:unhideWhenUsed/>
    <w:rsid w:val="001B0C4A"/>
    <w:rPr>
      <w:color w:val="605E5C"/>
      <w:shd w:val="clear" w:color="auto" w:fill="E1DFDD"/>
    </w:rPr>
  </w:style>
  <w:style w:type="character" w:styleId="LineNumber">
    <w:name w:val="line number"/>
    <w:basedOn w:val="DefaultParagraphFont"/>
    <w:uiPriority w:val="99"/>
    <w:semiHidden/>
    <w:unhideWhenUsed/>
    <w:rsid w:val="001B0C4A"/>
  </w:style>
  <w:style w:type="character" w:styleId="UnresolvedMention">
    <w:name w:val="Unresolved Mention"/>
    <w:basedOn w:val="DefaultParagraphFont"/>
    <w:uiPriority w:val="99"/>
    <w:semiHidden/>
    <w:unhideWhenUsed/>
    <w:rsid w:val="001B0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r.gov.au/publications/state-of-the-energy-market-reports" TargetMode="External"/><Relationship Id="rId18" Type="http://schemas.openxmlformats.org/officeDocument/2006/relationships/hyperlink" Target="https://www.csiro.au/en/work-with-us/services/consultancy-strategic-advice-services/csiro-futures/futures-reports/hydrogen-roadmap" TargetMode="External"/><Relationship Id="rId26" Type="http://schemas.openxmlformats.org/officeDocument/2006/relationships/hyperlink" Target="https://doi.org/10.1017/S0022050700037153" TargetMode="External"/><Relationship Id="rId39" Type="http://schemas.openxmlformats.org/officeDocument/2006/relationships/hyperlink" Target="https://doi.org/10.1016/j.enpol.2017.06.014" TargetMode="External"/><Relationship Id="rId21" Type="http://schemas.openxmlformats.org/officeDocument/2006/relationships/hyperlink" Target="https://doi.org/10.1332/030557375783094590" TargetMode="External"/><Relationship Id="rId34" Type="http://schemas.openxmlformats.org/officeDocument/2006/relationships/hyperlink" Target="https://doi.org/10.1111/j.1467-954X.2010.01891.x" TargetMode="External"/><Relationship Id="rId42" Type="http://schemas.openxmlformats.org/officeDocument/2006/relationships/hyperlink" Target="https://doi.org/10.1016/0360-3199(78)90016-2" TargetMode="External"/><Relationship Id="rId47" Type="http://schemas.openxmlformats.org/officeDocument/2006/relationships/hyperlink" Target="https://arena.gov.au/assets/2018/12/the-australian-publics-perception-of-hydrogen-for-energy.pdf" TargetMode="External"/><Relationship Id="rId50" Type="http://schemas.openxmlformats.org/officeDocument/2006/relationships/hyperlink" Target="https://ccep.crawford.anu.edu.au/sites/default/files/publication/ccep_crawford_anu_edu_au/2020-09/ccep20-07_longden-jotzo-prasad-andrews_h2_costs.pdf" TargetMode="External"/><Relationship Id="rId55" Type="http://schemas.openxmlformats.org/officeDocument/2006/relationships/hyperlink" Target="https://doi.org/10.1016/j.foodqual.2020.104081" TargetMode="External"/><Relationship Id="rId63" Type="http://schemas.openxmlformats.org/officeDocument/2006/relationships/hyperlink" Target="https://doi.org/10.1016/j.landusepol.2018.05.057" TargetMode="External"/><Relationship Id="rId68" Type="http://schemas.openxmlformats.org/officeDocument/2006/relationships/hyperlink" Target="https://doi.org/10.1007/s10640-006-9024-0" TargetMode="External"/><Relationship Id="rId76" Type="http://schemas.openxmlformats.org/officeDocument/2006/relationships/hyperlink" Target="https://doi.org/10.1016/j.resourpol.2014.12.001" TargetMode="External"/><Relationship Id="rId84" Type="http://schemas.openxmlformats.org/officeDocument/2006/relationships/hyperlink" Target="https://doi.org/10.1016/S0301-4215(01)00098-2" TargetMode="External"/><Relationship Id="rId89" Type="http://schemas.openxmlformats.org/officeDocument/2006/relationships/fontTable" Target="fontTable.xml"/><Relationship Id="rId7" Type="http://schemas.openxmlformats.org/officeDocument/2006/relationships/hyperlink" Target="mailto:nikki.dumbrell@adelaide.edu.au" TargetMode="External"/><Relationship Id="rId71" Type="http://schemas.openxmlformats.org/officeDocument/2006/relationships/hyperlink" Target="https://doi.org/10.1002/(Sici)1099-1255(199611)11:6%3c619::Aid-Jae418%3e3.0.Co;2-1" TargetMode="External"/><Relationship Id="rId2" Type="http://schemas.openxmlformats.org/officeDocument/2006/relationships/styles" Target="styles.xml"/><Relationship Id="rId16" Type="http://schemas.openxmlformats.org/officeDocument/2006/relationships/hyperlink" Target="https://doi.org/10.1016/j.jclepro.2018.03.266" TargetMode="External"/><Relationship Id="rId29" Type="http://schemas.openxmlformats.org/officeDocument/2006/relationships/hyperlink" Target="https://doi.org/10.1016/j.gloenvcha.2021.102355" TargetMode="External"/><Relationship Id="rId11" Type="http://schemas.openxmlformats.org/officeDocument/2006/relationships/hyperlink" Target="http://www.coagenergycouncil.gov.au/sites/prod.energycouncil/files/publications/documents/nhs-developing-community-trust-in-hydrogen-report-2019_0.pdf" TargetMode="External"/><Relationship Id="rId24" Type="http://schemas.openxmlformats.org/officeDocument/2006/relationships/hyperlink" Target="https://doi.org/10.1016/j.jempfin.2008.02.001" TargetMode="External"/><Relationship Id="rId32" Type="http://schemas.openxmlformats.org/officeDocument/2006/relationships/hyperlink" Target="https://doi.org/10.1016/j.apenergy.2017.03.132" TargetMode="External"/><Relationship Id="rId37" Type="http://schemas.openxmlformats.org/officeDocument/2006/relationships/hyperlink" Target="http://www.renewablessa.sa.gov.au/topic/hydrogen/" TargetMode="External"/><Relationship Id="rId40" Type="http://schemas.openxmlformats.org/officeDocument/2006/relationships/hyperlink" Target="https://doi.org/10.1016/j.enpol.2015.08.033" TargetMode="External"/><Relationship Id="rId45" Type="http://schemas.openxmlformats.org/officeDocument/2006/relationships/hyperlink" Target="https://www.iea.org/reports/the-future-of-hydrogen" TargetMode="External"/><Relationship Id="rId53" Type="http://schemas.openxmlformats.org/officeDocument/2006/relationships/hyperlink" Target="https://doi.org/10.1177/1035304617703933" TargetMode="External"/><Relationship Id="rId58" Type="http://schemas.openxmlformats.org/officeDocument/2006/relationships/hyperlink" Target="https://doi.org/10.1016/j.enpol.2020.111940" TargetMode="External"/><Relationship Id="rId66" Type="http://schemas.openxmlformats.org/officeDocument/2006/relationships/hyperlink" Target="https://doi.org/10.1046/j.1369-6513.1999.00062.x" TargetMode="External"/><Relationship Id="rId74" Type="http://schemas.openxmlformats.org/officeDocument/2006/relationships/hyperlink" Target="https://doi.org/10.1016/j.techfore.2019.06.008" TargetMode="External"/><Relationship Id="rId79" Type="http://schemas.openxmlformats.org/officeDocument/2006/relationships/hyperlink" Target="https://doi.org/10.1016/j.ijhydene.2016.01.058" TargetMode="External"/><Relationship Id="rId87" Type="http://schemas.openxmlformats.org/officeDocument/2006/relationships/hyperlink" Target="https://www.worldenergy.org/publications/entry/world-energy-trilemma-index-2020" TargetMode="External"/><Relationship Id="rId5" Type="http://schemas.openxmlformats.org/officeDocument/2006/relationships/footnotes" Target="footnotes.xml"/><Relationship Id="rId61" Type="http://schemas.openxmlformats.org/officeDocument/2006/relationships/hyperlink" Target="https://doi.org/10.1080/13669870801967218" TargetMode="External"/><Relationship Id="rId82" Type="http://schemas.openxmlformats.org/officeDocument/2006/relationships/hyperlink" Target="https://doi.org/10.1016/j.enpol.2021.112158" TargetMode="External"/><Relationship Id="rId90" Type="http://schemas.openxmlformats.org/officeDocument/2006/relationships/theme" Target="theme/theme1.xml"/><Relationship Id="rId19" Type="http://schemas.openxmlformats.org/officeDocument/2006/relationships/hyperlink" Target="https://www.stata.com/meeting/germany10/germany10_buis.pdf" TargetMode="External"/><Relationship Id="rId4" Type="http://schemas.openxmlformats.org/officeDocument/2006/relationships/webSettings" Target="webSettings.xml"/><Relationship Id="rId9" Type="http://schemas.openxmlformats.org/officeDocument/2006/relationships/hyperlink" Target="https://doi.org/10.1016/j.jclepro.2019.02.046" TargetMode="External"/><Relationship Id="rId14" Type="http://schemas.openxmlformats.org/officeDocument/2006/relationships/hyperlink" Target="https://www.industry.gov.au/data-and-publications/technology-investment-roadmap-first-low-emissions-technology-statement-2020" TargetMode="External"/><Relationship Id="rId22" Type="http://schemas.openxmlformats.org/officeDocument/2006/relationships/hyperlink" Target="https://doi.org/10.1371/journal.pone.0248268" TargetMode="External"/><Relationship Id="rId27" Type="http://schemas.openxmlformats.org/officeDocument/2006/relationships/hyperlink" Target="https://doi.org/10.1016/j.gloenvcha.2011.11.009" TargetMode="External"/><Relationship Id="rId30" Type="http://schemas.openxmlformats.org/officeDocument/2006/relationships/hyperlink" Target="https://doi.org/10.1016/j.renene.2011.07.039" TargetMode="External"/><Relationship Id="rId35" Type="http://schemas.openxmlformats.org/officeDocument/2006/relationships/hyperlink" Target="https://doi.org/10.1016/j.erss.2020.101664" TargetMode="External"/><Relationship Id="rId43" Type="http://schemas.openxmlformats.org/officeDocument/2006/relationships/hyperlink" Target="https://doi.org/10.1002/ese3.956" TargetMode="External"/><Relationship Id="rId48" Type="http://schemas.openxmlformats.org/officeDocument/2006/relationships/hyperlink" Target="https://doi.org/10.1080/14615517.2012.706943" TargetMode="External"/><Relationship Id="rId56" Type="http://schemas.openxmlformats.org/officeDocument/2006/relationships/hyperlink" Target="https://doi.org/10.1016/j.enpol.2018.10.067" TargetMode="External"/><Relationship Id="rId64" Type="http://schemas.openxmlformats.org/officeDocument/2006/relationships/hyperlink" Target="https://doi.org/10.1515/jem-2012-0006" TargetMode="External"/><Relationship Id="rId69" Type="http://schemas.openxmlformats.org/officeDocument/2006/relationships/hyperlink" Target="https://doi.org/10.1016/j.enpol.2008.02.026" TargetMode="External"/><Relationship Id="rId77" Type="http://schemas.openxmlformats.org/officeDocument/2006/relationships/hyperlink" Target="https://doi.org/10.1201/b12267" TargetMode="External"/><Relationship Id="rId8" Type="http://schemas.openxmlformats.org/officeDocument/2006/relationships/footer" Target="footer1.xml"/><Relationship Id="rId51" Type="http://schemas.openxmlformats.org/officeDocument/2006/relationships/hyperlink" Target="https://doi.org/10.1016/j.jbusres.2006.11.010" TargetMode="External"/><Relationship Id="rId72" Type="http://schemas.openxmlformats.org/officeDocument/2006/relationships/hyperlink" Target="https://doi.org/10.1016/j.jeconom.2008.05.009" TargetMode="External"/><Relationship Id="rId80" Type="http://schemas.openxmlformats.org/officeDocument/2006/relationships/hyperlink" Target="https://doi.org/10.1016/j.ijhydene.2003.09.006" TargetMode="External"/><Relationship Id="rId85" Type="http://schemas.openxmlformats.org/officeDocument/2006/relationships/hyperlink" Target="https://engage.vic.gov.au/vhip" TargetMode="External"/><Relationship Id="rId3" Type="http://schemas.openxmlformats.org/officeDocument/2006/relationships/settings" Target="settings.xml"/><Relationship Id="rId12" Type="http://schemas.openxmlformats.org/officeDocument/2006/relationships/hyperlink" Target="https://www.abs.gov.au/AUSSTATS/abs@.nsf/DetailsPage/2033.0.55.0012016?OpenDocument" TargetMode="External"/><Relationship Id="rId17" Type="http://schemas.openxmlformats.org/officeDocument/2006/relationships/hyperlink" Target="https://doi.org/10.1016/j.tej.2020.106832" TargetMode="External"/><Relationship Id="rId25" Type="http://schemas.openxmlformats.org/officeDocument/2006/relationships/hyperlink" Target="https://doi.org/10.1080/02646811.2016.1269472" TargetMode="External"/><Relationship Id="rId33" Type="http://schemas.openxmlformats.org/officeDocument/2006/relationships/hyperlink" Target="https://doi.org/10.1016/j.exis.2017.11.009" TargetMode="External"/><Relationship Id="rId38" Type="http://schemas.openxmlformats.org/officeDocument/2006/relationships/hyperlink" Target="https://doi.org/10.1023/A:1013805111691" TargetMode="External"/><Relationship Id="rId46" Type="http://schemas.openxmlformats.org/officeDocument/2006/relationships/hyperlink" Target="https://www.futurefuelscrc.com/wp-content/uploads/RP1.1-03-Hydrogen-Strategies-Final-Report-EXTERNAL-1.pdf" TargetMode="External"/><Relationship Id="rId59" Type="http://schemas.openxmlformats.org/officeDocument/2006/relationships/hyperlink" Target="https://doi.org/10.25919/ndrm-9v11" TargetMode="External"/><Relationship Id="rId67" Type="http://schemas.openxmlformats.org/officeDocument/2006/relationships/hyperlink" Target="https://australiainstitute.org.au/wp-content/uploads/2021/06/P1031-Carbon-Border-AdjustmentsWEB.pdf" TargetMode="External"/><Relationship Id="rId20" Type="http://schemas.openxmlformats.org/officeDocument/2006/relationships/hyperlink" Target="https://research.csiro.au/hydrogenfsp/wp-content/uploads/sites/247/2020/07/Social-science-for-a-hydrogen-energy-future.pdf" TargetMode="External"/><Relationship Id="rId41" Type="http://schemas.openxmlformats.org/officeDocument/2006/relationships/hyperlink" Target="https://doi.org/10.1016/j.ijhydene.2008.02.068" TargetMode="External"/><Relationship Id="rId54" Type="http://schemas.openxmlformats.org/officeDocument/2006/relationships/hyperlink" Target="https://doi.org/10.1016/j.reseneeco.2015.07.003" TargetMode="External"/><Relationship Id="rId62" Type="http://schemas.openxmlformats.org/officeDocument/2006/relationships/hyperlink" Target="https://doi.org/10.1007/s11027-018-9834-8" TargetMode="External"/><Relationship Id="rId70" Type="http://schemas.openxmlformats.org/officeDocument/2006/relationships/hyperlink" Target="https://doi.org/10.1016/j.enpol.2020.111332" TargetMode="External"/><Relationship Id="rId75" Type="http://schemas.openxmlformats.org/officeDocument/2006/relationships/hyperlink" Target="https://doi.org/10.1016/j.ijhydene.2008.07.106" TargetMode="External"/><Relationship Id="rId83" Type="http://schemas.openxmlformats.org/officeDocument/2006/relationships/hyperlink" Target="https://doi.org/10.1016/j.ijhydene.2008.07.006" TargetMode="External"/><Relationship Id="rId88" Type="http://schemas.openxmlformats.org/officeDocument/2006/relationships/hyperlink" Target="https://doi.org/10.1016/j.ijhydene.2012.02.12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nu.edu.au/research/research-initiatives/zero-carbon-energy-for-the-asia-pacific/research-outputs" TargetMode="External"/><Relationship Id="rId23" Type="http://schemas.openxmlformats.org/officeDocument/2006/relationships/hyperlink" Target="https://www.industry.gov.au/data-and-publications/australias-national-hydrogen-strategy" TargetMode="External"/><Relationship Id="rId28" Type="http://schemas.openxmlformats.org/officeDocument/2006/relationships/hyperlink" Target="https://doi.org/10.1016/j.resourpol.2020.101827" TargetMode="External"/><Relationship Id="rId36" Type="http://schemas.openxmlformats.org/officeDocument/2006/relationships/hyperlink" Target="https://doi.org/10.1016/j.apenergy.2018.05.025" TargetMode="External"/><Relationship Id="rId49" Type="http://schemas.openxmlformats.org/officeDocument/2006/relationships/hyperlink" Target="https://doi.org/10.1111/agec.12238" TargetMode="External"/><Relationship Id="rId57" Type="http://schemas.openxmlformats.org/officeDocument/2006/relationships/hyperlink" Target="https://www.futurefuelscrc.com/wp-content/uploads/FFCRC_RP2.1-02_Public-perceptions-of-hydrogen_National-survey-report_June2021Final.pdf" TargetMode="External"/><Relationship Id="rId10" Type="http://schemas.openxmlformats.org/officeDocument/2006/relationships/hyperlink" Target="https://doi.org/10.1016/j.ijhydene.2010.03.091" TargetMode="External"/><Relationship Id="rId31" Type="http://schemas.openxmlformats.org/officeDocument/2006/relationships/hyperlink" Target="https://www.energynetworks.com.au/resources/reports/gas-vision-2050-hydrogen-innovation/" TargetMode="External"/><Relationship Id="rId44" Type="http://schemas.openxmlformats.org/officeDocument/2006/relationships/hyperlink" Target="https://doi.org/10.1016/j.ijhydene.2015.06.131" TargetMode="External"/><Relationship Id="rId52" Type="http://schemas.openxmlformats.org/officeDocument/2006/relationships/hyperlink" Target="https://doi.org/10.1016/j.landusepol.2017.09.006" TargetMode="External"/><Relationship Id="rId60" Type="http://schemas.openxmlformats.org/officeDocument/2006/relationships/hyperlink" Target="https://doi.org/10.1016/j.ijhydene.2020.06.041" TargetMode="External"/><Relationship Id="rId65" Type="http://schemas.openxmlformats.org/officeDocument/2006/relationships/hyperlink" Target="https://doi.org/10.1007/s11150-010-9091-4" TargetMode="External"/><Relationship Id="rId73" Type="http://schemas.openxmlformats.org/officeDocument/2006/relationships/hyperlink" Target="https://www.pm.gov.au/media/australia-and-germany-partner-hydrogen-initiatives" TargetMode="External"/><Relationship Id="rId78" Type="http://schemas.openxmlformats.org/officeDocument/2006/relationships/hyperlink" Target="https://doi.org/10.3310/hta5050" TargetMode="External"/><Relationship Id="rId81" Type="http://schemas.openxmlformats.org/officeDocument/2006/relationships/hyperlink" Target="https://doi.org/10.1016/j.erss.2019.101346" TargetMode="External"/><Relationship Id="rId86" Type="http://schemas.openxmlformats.org/officeDocument/2006/relationships/hyperlink" Target="https://doi.org/10.1016/j.apenergy.2018.05.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11255</Words>
  <Characters>64160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75265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Dumbrell</dc:creator>
  <cp:keywords/>
  <dc:description/>
  <cp:lastModifiedBy>Susan Baker</cp:lastModifiedBy>
  <cp:revision>2</cp:revision>
  <dcterms:created xsi:type="dcterms:W3CDTF">2024-11-08T16:17:00Z</dcterms:created>
  <dcterms:modified xsi:type="dcterms:W3CDTF">2024-11-08T16:17:00Z</dcterms:modified>
</cp:coreProperties>
</file>