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22951" w14:textId="77777777" w:rsidR="00A158CE" w:rsidRDefault="00A158CE" w:rsidP="00A158CE">
      <w:pPr>
        <w:pStyle w:val="Heading1"/>
        <w:jc w:val="both"/>
        <w:rPr>
          <w:rFonts w:ascii="Arial" w:hAnsi="Arial" w:cs="Arial"/>
        </w:rPr>
      </w:pPr>
    </w:p>
    <w:p w14:paraId="1A311F8A" w14:textId="77777777" w:rsidR="00A158CE" w:rsidRDefault="00A158CE" w:rsidP="00A158CE">
      <w:pPr>
        <w:pStyle w:val="Heading1"/>
        <w:jc w:val="both"/>
        <w:rPr>
          <w:rFonts w:ascii="Arial" w:hAnsi="Arial" w:cs="Arial"/>
        </w:rPr>
      </w:pPr>
    </w:p>
    <w:p w14:paraId="604FA425" w14:textId="77777777" w:rsidR="00A158CE" w:rsidRDefault="00A158CE" w:rsidP="00A158CE">
      <w:pPr>
        <w:pStyle w:val="Heading1"/>
        <w:jc w:val="both"/>
        <w:rPr>
          <w:rFonts w:ascii="Arial" w:hAnsi="Arial" w:cs="Arial"/>
        </w:rPr>
      </w:pPr>
    </w:p>
    <w:p w14:paraId="734EA617" w14:textId="77777777" w:rsidR="00A158CE" w:rsidRDefault="00A158CE" w:rsidP="00A158CE">
      <w:pPr>
        <w:pStyle w:val="Heading1"/>
        <w:jc w:val="both"/>
        <w:rPr>
          <w:rFonts w:ascii="Arial" w:hAnsi="Arial" w:cs="Arial"/>
        </w:rPr>
      </w:pPr>
    </w:p>
    <w:p w14:paraId="54C05AD6" w14:textId="77777777" w:rsidR="00A158CE" w:rsidRDefault="00A158CE" w:rsidP="00A158CE">
      <w:pPr>
        <w:pStyle w:val="Heading1"/>
        <w:jc w:val="both"/>
        <w:rPr>
          <w:rFonts w:ascii="Arial" w:hAnsi="Arial" w:cs="Arial"/>
        </w:rPr>
      </w:pPr>
    </w:p>
    <w:p w14:paraId="58E34DE5" w14:textId="77777777" w:rsidR="00A158CE" w:rsidRDefault="00A158CE" w:rsidP="00A158CE">
      <w:pPr>
        <w:pStyle w:val="Heading1"/>
        <w:jc w:val="both"/>
        <w:rPr>
          <w:rFonts w:ascii="Arial" w:hAnsi="Arial" w:cs="Arial"/>
        </w:rPr>
      </w:pPr>
    </w:p>
    <w:p w14:paraId="0A41C8CE" w14:textId="77777777" w:rsidR="00A158CE" w:rsidRDefault="00A158CE" w:rsidP="00A158CE">
      <w:pPr>
        <w:pStyle w:val="Heading1"/>
        <w:jc w:val="both"/>
        <w:rPr>
          <w:rFonts w:ascii="Arial" w:hAnsi="Arial" w:cs="Arial"/>
        </w:rPr>
      </w:pPr>
    </w:p>
    <w:p w14:paraId="473A687E" w14:textId="77777777" w:rsidR="00A158CE" w:rsidRDefault="00A158CE" w:rsidP="00A158CE">
      <w:pPr>
        <w:pStyle w:val="Heading1"/>
        <w:jc w:val="both"/>
        <w:rPr>
          <w:rFonts w:ascii="Arial" w:hAnsi="Arial" w:cs="Arial"/>
        </w:rPr>
      </w:pPr>
    </w:p>
    <w:p w14:paraId="518F12FF" w14:textId="77777777" w:rsidR="00A158CE" w:rsidRDefault="00A158CE" w:rsidP="00A158CE">
      <w:pPr>
        <w:pStyle w:val="Heading1"/>
        <w:jc w:val="both"/>
        <w:rPr>
          <w:rFonts w:ascii="Arial" w:hAnsi="Arial" w:cs="Arial"/>
        </w:rPr>
      </w:pPr>
    </w:p>
    <w:p w14:paraId="6EC67D5A" w14:textId="43126C98" w:rsidR="00FB0C28" w:rsidRPr="00885CD6" w:rsidRDefault="00885CD6" w:rsidP="00A158CE">
      <w:pPr>
        <w:pStyle w:val="Heading1"/>
        <w:jc w:val="both"/>
        <w:rPr>
          <w:rFonts w:ascii="Arial" w:hAnsi="Arial" w:cs="Arial"/>
        </w:rPr>
      </w:pPr>
      <w:r w:rsidRPr="00885CD6">
        <w:rPr>
          <w:rFonts w:ascii="Arial" w:hAnsi="Arial" w:cs="Arial"/>
        </w:rPr>
        <w:t xml:space="preserve">Assessing the </w:t>
      </w:r>
      <w:r w:rsidR="001207B3">
        <w:rPr>
          <w:rFonts w:ascii="Arial" w:hAnsi="Arial" w:cs="Arial"/>
        </w:rPr>
        <w:t>I</w:t>
      </w:r>
      <w:r w:rsidRPr="00885CD6">
        <w:rPr>
          <w:rFonts w:ascii="Arial" w:hAnsi="Arial" w:cs="Arial"/>
        </w:rPr>
        <w:t xml:space="preserve">mpact of </w:t>
      </w:r>
      <w:r w:rsidR="001207B3">
        <w:rPr>
          <w:rFonts w:ascii="Arial" w:hAnsi="Arial" w:cs="Arial"/>
        </w:rPr>
        <w:t>E</w:t>
      </w:r>
      <w:r w:rsidRPr="00885CD6">
        <w:rPr>
          <w:rFonts w:ascii="Arial" w:hAnsi="Arial" w:cs="Arial"/>
        </w:rPr>
        <w:t xml:space="preserve">nterprise and </w:t>
      </w:r>
      <w:r w:rsidR="001207B3">
        <w:rPr>
          <w:rFonts w:ascii="Arial" w:hAnsi="Arial" w:cs="Arial"/>
        </w:rPr>
        <w:t>E</w:t>
      </w:r>
      <w:r w:rsidRPr="00885CD6">
        <w:rPr>
          <w:rFonts w:ascii="Arial" w:hAnsi="Arial" w:cs="Arial"/>
        </w:rPr>
        <w:t xml:space="preserve">ntrepreneurship </w:t>
      </w:r>
      <w:r w:rsidR="001207B3">
        <w:rPr>
          <w:rFonts w:ascii="Arial" w:hAnsi="Arial" w:cs="Arial"/>
        </w:rPr>
        <w:t>E</w:t>
      </w:r>
      <w:r w:rsidR="001207B3" w:rsidRPr="00885CD6">
        <w:rPr>
          <w:rFonts w:ascii="Arial" w:hAnsi="Arial" w:cs="Arial"/>
        </w:rPr>
        <w:t>ducation</w:t>
      </w:r>
      <w:r w:rsidRPr="00885CD6">
        <w:rPr>
          <w:rFonts w:ascii="Arial" w:hAnsi="Arial" w:cs="Arial"/>
        </w:rPr>
        <w:t xml:space="preserve"> </w:t>
      </w:r>
    </w:p>
    <w:p w14:paraId="4FC3E3F3" w14:textId="527F6DD1" w:rsidR="00885CD6" w:rsidRDefault="00885CD6" w:rsidP="00A158CE">
      <w:pPr>
        <w:pStyle w:val="Heading2"/>
        <w:jc w:val="both"/>
        <w:rPr>
          <w:rFonts w:ascii="Arial" w:hAnsi="Arial" w:cs="Arial"/>
        </w:rPr>
      </w:pPr>
      <w:r w:rsidRPr="619EA3ED">
        <w:rPr>
          <w:rFonts w:ascii="Arial" w:hAnsi="Arial" w:cs="Arial"/>
        </w:rPr>
        <w:t xml:space="preserve">Literature and Policy </w:t>
      </w:r>
      <w:r w:rsidR="00F46430" w:rsidRPr="619EA3ED">
        <w:rPr>
          <w:rFonts w:ascii="Arial" w:hAnsi="Arial" w:cs="Arial"/>
        </w:rPr>
        <w:t xml:space="preserve">Project </w:t>
      </w:r>
      <w:r w:rsidRPr="619EA3ED">
        <w:rPr>
          <w:rFonts w:ascii="Arial" w:hAnsi="Arial" w:cs="Arial"/>
        </w:rPr>
        <w:t>Report</w:t>
      </w:r>
    </w:p>
    <w:p w14:paraId="7D0BB031" w14:textId="258F9A3A" w:rsidR="619EA3ED" w:rsidRDefault="619EA3ED" w:rsidP="619EA3ED"/>
    <w:p w14:paraId="7DA4DDDD" w14:textId="576F4C43" w:rsidR="00A158CE" w:rsidRPr="00A158CE" w:rsidRDefault="00A158CE" w:rsidP="00A158CE">
      <w:pPr>
        <w:pStyle w:val="Heading3"/>
      </w:pPr>
      <w:r>
        <w:t xml:space="preserve">Authors: </w:t>
      </w:r>
      <w:r w:rsidR="001207B3">
        <w:t>Kelly Smith</w:t>
      </w:r>
      <w:r w:rsidR="5EE7DBC6">
        <w:t xml:space="preserve">, </w:t>
      </w:r>
      <w:r w:rsidR="001207B3">
        <w:t>David Bozward</w:t>
      </w:r>
      <w:r w:rsidR="5E5CB02D">
        <w:t xml:space="preserve">, </w:t>
      </w:r>
      <w:r w:rsidR="759D21E2">
        <w:t xml:space="preserve">Matthew Draycott, Mokuba Mave, </w:t>
      </w:r>
      <w:r w:rsidR="6F2C57E6">
        <w:t xml:space="preserve">Vic Curtis, </w:t>
      </w:r>
    </w:p>
    <w:p w14:paraId="11007221" w14:textId="6ABDC4EB" w:rsidR="0003D4B5" w:rsidRDefault="0003D4B5" w:rsidP="619EA3ED">
      <w:r w:rsidRPr="619EA3ED">
        <w:rPr>
          <w:rFonts w:asciiTheme="majorHAnsi" w:eastAsiaTheme="majorEastAsia" w:hAnsiTheme="majorHAnsi" w:cstheme="majorBidi"/>
          <w:color w:val="1F4D78"/>
          <w:sz w:val="24"/>
          <w:szCs w:val="24"/>
        </w:rPr>
        <w:t>Chinthaka Aluthgama</w:t>
      </w:r>
      <w:r w:rsidR="12EA5E0A" w:rsidRPr="758A1DEF">
        <w:rPr>
          <w:rFonts w:asciiTheme="majorHAnsi" w:eastAsiaTheme="majorEastAsia" w:hAnsiTheme="majorHAnsi" w:cstheme="majorBidi"/>
          <w:color w:val="1F4D78"/>
          <w:sz w:val="24"/>
          <w:szCs w:val="24"/>
        </w:rPr>
        <w:t>-Baduge</w:t>
      </w:r>
      <w:r w:rsidRPr="619EA3ED">
        <w:rPr>
          <w:rFonts w:asciiTheme="majorHAnsi" w:eastAsiaTheme="majorEastAsia" w:hAnsiTheme="majorHAnsi" w:cstheme="majorBidi"/>
          <w:color w:val="1F4D78"/>
          <w:sz w:val="24"/>
          <w:szCs w:val="24"/>
        </w:rPr>
        <w:t>, Rob Moon and Nigel Adams</w:t>
      </w:r>
    </w:p>
    <w:p w14:paraId="66E4D799" w14:textId="31F3B941" w:rsidR="619EA3ED" w:rsidRDefault="619EA3ED" w:rsidP="619EA3ED">
      <w:pPr>
        <w:rPr>
          <w:rFonts w:asciiTheme="majorHAnsi" w:eastAsiaTheme="majorEastAsia" w:hAnsiTheme="majorHAnsi" w:cstheme="majorBidi"/>
          <w:color w:val="1F4D78"/>
          <w:sz w:val="24"/>
          <w:szCs w:val="24"/>
        </w:rPr>
      </w:pPr>
    </w:p>
    <w:p w14:paraId="290CBDAA" w14:textId="77777777" w:rsidR="00D77134" w:rsidRPr="00D77134" w:rsidRDefault="00D77134" w:rsidP="00A158CE">
      <w:pPr>
        <w:pStyle w:val="Heading3"/>
        <w:jc w:val="both"/>
      </w:pPr>
      <w:r w:rsidRPr="00D77134">
        <w:t>Ju</w:t>
      </w:r>
      <w:r w:rsidR="0046163B">
        <w:t>ly</w:t>
      </w:r>
      <w:r w:rsidRPr="00D77134">
        <w:t xml:space="preserve"> 20</w:t>
      </w:r>
      <w:r w:rsidR="00AD3C86">
        <w:t>20</w:t>
      </w:r>
    </w:p>
    <w:p w14:paraId="68D4FB2C" w14:textId="77777777" w:rsidR="00885CD6" w:rsidRPr="00885CD6" w:rsidRDefault="00885CD6" w:rsidP="00A158CE">
      <w:pPr>
        <w:jc w:val="both"/>
        <w:rPr>
          <w:rFonts w:cs="Arial"/>
        </w:rPr>
      </w:pPr>
    </w:p>
    <w:p w14:paraId="297A02AF" w14:textId="77777777" w:rsidR="00A158CE" w:rsidRDefault="00A158CE" w:rsidP="00A158CE">
      <w:pPr>
        <w:jc w:val="both"/>
        <w:rPr>
          <w:rFonts w:cs="Arial"/>
        </w:rPr>
      </w:pPr>
    </w:p>
    <w:p w14:paraId="6321DE52" w14:textId="77777777" w:rsidR="00A158CE" w:rsidRDefault="00A158CE" w:rsidP="00A158CE">
      <w:pPr>
        <w:jc w:val="both"/>
        <w:rPr>
          <w:rFonts w:cs="Arial"/>
        </w:rPr>
      </w:pPr>
    </w:p>
    <w:p w14:paraId="2B9C019F" w14:textId="77777777" w:rsidR="00A158CE" w:rsidRDefault="00A158CE" w:rsidP="00A158CE">
      <w:pPr>
        <w:jc w:val="both"/>
        <w:rPr>
          <w:rFonts w:cs="Arial"/>
        </w:rPr>
      </w:pPr>
    </w:p>
    <w:p w14:paraId="0F95A7B1" w14:textId="77777777" w:rsidR="00A158CE" w:rsidRDefault="00A158CE" w:rsidP="00A158CE">
      <w:pPr>
        <w:jc w:val="both"/>
        <w:rPr>
          <w:rFonts w:cs="Arial"/>
        </w:rPr>
      </w:pPr>
    </w:p>
    <w:p w14:paraId="20490E53" w14:textId="77777777" w:rsidR="00A158CE" w:rsidRDefault="00A158CE" w:rsidP="00A158CE">
      <w:pPr>
        <w:jc w:val="both"/>
        <w:rPr>
          <w:rFonts w:cs="Arial"/>
        </w:rPr>
      </w:pPr>
    </w:p>
    <w:p w14:paraId="6B750CC6" w14:textId="77777777" w:rsidR="00A158CE" w:rsidRDefault="00A158CE" w:rsidP="00A158CE">
      <w:pPr>
        <w:jc w:val="both"/>
        <w:rPr>
          <w:rFonts w:cs="Arial"/>
        </w:rPr>
      </w:pPr>
    </w:p>
    <w:p w14:paraId="0C4A0D30" w14:textId="77777777" w:rsidR="00A158CE" w:rsidRDefault="00A158CE" w:rsidP="00A158CE">
      <w:pPr>
        <w:jc w:val="both"/>
        <w:rPr>
          <w:rFonts w:cs="Arial"/>
        </w:rPr>
      </w:pPr>
    </w:p>
    <w:p w14:paraId="6A8045DC" w14:textId="77777777" w:rsidR="00A158CE" w:rsidRDefault="00A158CE" w:rsidP="00A158CE">
      <w:pPr>
        <w:jc w:val="both"/>
        <w:rPr>
          <w:rFonts w:cs="Arial"/>
        </w:rPr>
      </w:pPr>
    </w:p>
    <w:p w14:paraId="155F3A4C" w14:textId="77777777" w:rsidR="00A158CE" w:rsidRDefault="00A158CE" w:rsidP="00A158CE">
      <w:pPr>
        <w:jc w:val="both"/>
        <w:rPr>
          <w:rFonts w:cs="Arial"/>
        </w:rPr>
      </w:pPr>
    </w:p>
    <w:p w14:paraId="64B3C16D" w14:textId="77777777" w:rsidR="00A158CE" w:rsidRDefault="00A158CE" w:rsidP="00A158CE">
      <w:pPr>
        <w:jc w:val="both"/>
        <w:rPr>
          <w:rFonts w:cs="Arial"/>
        </w:rPr>
      </w:pPr>
    </w:p>
    <w:p w14:paraId="1181C89C" w14:textId="77777777" w:rsidR="00A158CE" w:rsidRDefault="00A158CE" w:rsidP="00A158CE">
      <w:pPr>
        <w:jc w:val="both"/>
        <w:rPr>
          <w:rFonts w:cs="Arial"/>
        </w:rPr>
      </w:pPr>
    </w:p>
    <w:p w14:paraId="18BC9A9A" w14:textId="77777777" w:rsidR="00A158CE" w:rsidRDefault="00A158CE" w:rsidP="00A158CE">
      <w:pPr>
        <w:jc w:val="both"/>
        <w:rPr>
          <w:rFonts w:cs="Arial"/>
        </w:rPr>
      </w:pPr>
    </w:p>
    <w:p w14:paraId="57BAA6E7" w14:textId="77777777" w:rsidR="00A158CE" w:rsidRDefault="00A158CE" w:rsidP="00A158CE">
      <w:pPr>
        <w:jc w:val="both"/>
        <w:rPr>
          <w:rFonts w:cs="Arial"/>
        </w:rPr>
      </w:pPr>
    </w:p>
    <w:p w14:paraId="1234923C" w14:textId="77777777" w:rsidR="00A158CE" w:rsidRDefault="00A158CE" w:rsidP="00A158CE">
      <w:pPr>
        <w:jc w:val="both"/>
        <w:rPr>
          <w:rFonts w:cs="Arial"/>
        </w:rPr>
      </w:pPr>
    </w:p>
    <w:p w14:paraId="33383F23" w14:textId="77777777" w:rsidR="00A158CE" w:rsidRDefault="00A158CE" w:rsidP="00A158CE">
      <w:pPr>
        <w:jc w:val="both"/>
        <w:rPr>
          <w:rFonts w:cs="Arial"/>
        </w:rPr>
      </w:pPr>
    </w:p>
    <w:p w14:paraId="5E111258" w14:textId="77777777" w:rsidR="00A158CE" w:rsidRDefault="00A158CE" w:rsidP="00A158CE">
      <w:pPr>
        <w:jc w:val="both"/>
        <w:rPr>
          <w:rFonts w:cs="Arial"/>
        </w:rPr>
      </w:pPr>
    </w:p>
    <w:p w14:paraId="36C4A58F" w14:textId="77777777" w:rsidR="00A158CE" w:rsidRDefault="00A158CE" w:rsidP="00A158CE">
      <w:pPr>
        <w:jc w:val="both"/>
        <w:rPr>
          <w:rFonts w:cs="Arial"/>
        </w:rPr>
      </w:pPr>
    </w:p>
    <w:p w14:paraId="552EBCC3" w14:textId="77777777" w:rsidR="00A158CE" w:rsidRDefault="00A158CE" w:rsidP="00A158CE">
      <w:pPr>
        <w:jc w:val="both"/>
        <w:rPr>
          <w:rFonts w:cs="Arial"/>
        </w:rPr>
      </w:pPr>
    </w:p>
    <w:p w14:paraId="60C0F20D" w14:textId="77777777" w:rsidR="00A158CE" w:rsidRDefault="00A158CE" w:rsidP="00A158CE">
      <w:pPr>
        <w:jc w:val="both"/>
        <w:rPr>
          <w:rFonts w:cs="Arial"/>
        </w:rPr>
      </w:pPr>
    </w:p>
    <w:p w14:paraId="1C0EEBAC" w14:textId="77777777" w:rsidR="00A158CE" w:rsidRDefault="00A158CE" w:rsidP="00A158CE">
      <w:pPr>
        <w:jc w:val="both"/>
        <w:rPr>
          <w:rFonts w:cs="Arial"/>
        </w:rPr>
      </w:pPr>
    </w:p>
    <w:p w14:paraId="12E63289" w14:textId="77777777" w:rsidR="00A158CE" w:rsidRDefault="00A158CE" w:rsidP="00A158CE">
      <w:pPr>
        <w:jc w:val="both"/>
        <w:rPr>
          <w:rFonts w:cs="Arial"/>
        </w:rPr>
      </w:pPr>
    </w:p>
    <w:p w14:paraId="7EB9DAB9" w14:textId="77777777" w:rsidR="00A158CE" w:rsidRDefault="00A158CE" w:rsidP="00A158CE">
      <w:pPr>
        <w:jc w:val="both"/>
        <w:rPr>
          <w:rFonts w:cs="Arial"/>
        </w:rPr>
      </w:pPr>
    </w:p>
    <w:p w14:paraId="3A878813" w14:textId="5349F4CD" w:rsidR="00A158CE" w:rsidRDefault="00A158CE" w:rsidP="00A158CE">
      <w:pPr>
        <w:pStyle w:val="Heading1"/>
      </w:pPr>
      <w:r>
        <w:lastRenderedPageBreak/>
        <w:t>Executive Summary</w:t>
      </w:r>
    </w:p>
    <w:p w14:paraId="3F2387D1" w14:textId="77777777" w:rsidR="00A158CE" w:rsidRDefault="00A158CE" w:rsidP="00A158CE">
      <w:pPr>
        <w:jc w:val="both"/>
        <w:rPr>
          <w:rFonts w:cs="Arial"/>
        </w:rPr>
      </w:pPr>
    </w:p>
    <w:p w14:paraId="4DB4ADB6" w14:textId="6299942B" w:rsidR="00885CD6" w:rsidRPr="00066A54" w:rsidRDefault="00885CD6" w:rsidP="00A158CE">
      <w:pPr>
        <w:jc w:val="both"/>
        <w:rPr>
          <w:rFonts w:cs="Arial"/>
          <w:szCs w:val="20"/>
        </w:rPr>
      </w:pPr>
      <w:r w:rsidRPr="00066A54">
        <w:rPr>
          <w:rFonts w:cs="Arial"/>
          <w:szCs w:val="20"/>
        </w:rPr>
        <w:t xml:space="preserve">The following report summarises the </w:t>
      </w:r>
      <w:r w:rsidR="00F46430" w:rsidRPr="00066A54">
        <w:rPr>
          <w:rFonts w:cs="Arial"/>
          <w:szCs w:val="20"/>
        </w:rPr>
        <w:t>actions to date</w:t>
      </w:r>
      <w:r w:rsidR="265AE676" w:rsidRPr="00066A54">
        <w:rPr>
          <w:rFonts w:cs="Arial"/>
          <w:szCs w:val="20"/>
        </w:rPr>
        <w:t xml:space="preserve"> </w:t>
      </w:r>
      <w:r w:rsidR="37F17CF7" w:rsidRPr="00066A54">
        <w:rPr>
          <w:rFonts w:cs="Arial"/>
          <w:szCs w:val="20"/>
        </w:rPr>
        <w:t xml:space="preserve">and future planned activity </w:t>
      </w:r>
      <w:r w:rsidR="00F46430" w:rsidRPr="00066A54">
        <w:rPr>
          <w:rFonts w:cs="Arial"/>
          <w:szCs w:val="20"/>
        </w:rPr>
        <w:t>with respect to a systematic</w:t>
      </w:r>
      <w:r w:rsidRPr="00066A54">
        <w:rPr>
          <w:rFonts w:cs="Arial"/>
          <w:szCs w:val="20"/>
        </w:rPr>
        <w:t xml:space="preserve"> literature review and an investigation of policy-related data and documents relating to enterprise and entrepreneurship education </w:t>
      </w:r>
      <w:r w:rsidR="0034CDAD" w:rsidRPr="00066A54">
        <w:rPr>
          <w:rFonts w:cs="Arial"/>
          <w:szCs w:val="20"/>
        </w:rPr>
        <w:t>(</w:t>
      </w:r>
      <w:proofErr w:type="spellStart"/>
      <w:r w:rsidR="0034CDAD" w:rsidRPr="00066A54">
        <w:rPr>
          <w:rFonts w:cs="Arial"/>
          <w:szCs w:val="20"/>
        </w:rPr>
        <w:t>EntEd</w:t>
      </w:r>
      <w:proofErr w:type="spellEnd"/>
      <w:r w:rsidR="0034CDAD" w:rsidRPr="00066A54">
        <w:rPr>
          <w:rFonts w:cs="Arial"/>
          <w:szCs w:val="20"/>
        </w:rPr>
        <w:t xml:space="preserve">) </w:t>
      </w:r>
      <w:r w:rsidRPr="00066A54">
        <w:rPr>
          <w:rFonts w:cs="Arial"/>
          <w:szCs w:val="20"/>
        </w:rPr>
        <w:t>activity in UK Higher Education institutions (HEIs).</w:t>
      </w:r>
      <w:r w:rsidR="1E5CDA48" w:rsidRPr="00066A54">
        <w:rPr>
          <w:rFonts w:cs="Arial"/>
          <w:szCs w:val="20"/>
        </w:rPr>
        <w:t xml:space="preserve"> </w:t>
      </w:r>
    </w:p>
    <w:p w14:paraId="4FB1431A" w14:textId="5DF04089" w:rsidR="00DB02AF" w:rsidRPr="00066A54" w:rsidRDefault="00DB02AF" w:rsidP="619EA3ED">
      <w:pPr>
        <w:jc w:val="both"/>
        <w:rPr>
          <w:rFonts w:cs="Arial"/>
          <w:szCs w:val="20"/>
        </w:rPr>
      </w:pPr>
    </w:p>
    <w:p w14:paraId="0D2B755A" w14:textId="3782AF4C" w:rsidR="00DB02AF" w:rsidRPr="00066A54" w:rsidRDefault="00BD23FA" w:rsidP="619EA3ED">
      <w:pPr>
        <w:jc w:val="both"/>
        <w:rPr>
          <w:rFonts w:cs="Arial"/>
          <w:szCs w:val="20"/>
        </w:rPr>
      </w:pPr>
      <w:r>
        <w:rPr>
          <w:rFonts w:cs="Arial"/>
          <w:szCs w:val="20"/>
        </w:rPr>
        <w:t>The k</w:t>
      </w:r>
      <w:r w:rsidR="7C379BE7" w:rsidRPr="00066A54">
        <w:rPr>
          <w:rFonts w:cs="Arial"/>
          <w:szCs w:val="20"/>
        </w:rPr>
        <w:t>ey findings are:</w:t>
      </w:r>
    </w:p>
    <w:p w14:paraId="4DE92F8D" w14:textId="30167FBF" w:rsidR="00DB02AF" w:rsidRPr="00066A54" w:rsidRDefault="00DB02AF" w:rsidP="619EA3ED">
      <w:pPr>
        <w:jc w:val="both"/>
        <w:rPr>
          <w:rFonts w:cs="Arial"/>
          <w:szCs w:val="20"/>
        </w:rPr>
      </w:pPr>
    </w:p>
    <w:p w14:paraId="3D05B03A" w14:textId="6851CF9B" w:rsidR="00DB02AF" w:rsidRPr="00066A54" w:rsidRDefault="7C379BE7" w:rsidP="619EA3ED">
      <w:pPr>
        <w:pStyle w:val="ListParagraph"/>
        <w:numPr>
          <w:ilvl w:val="0"/>
          <w:numId w:val="1"/>
        </w:numPr>
        <w:spacing w:after="120"/>
        <w:jc w:val="both"/>
        <w:rPr>
          <w:rFonts w:eastAsiaTheme="minorEastAsia" w:cs="Arial"/>
          <w:szCs w:val="20"/>
        </w:rPr>
      </w:pPr>
      <w:r w:rsidRPr="00066A54">
        <w:rPr>
          <w:rFonts w:cs="Arial"/>
          <w:szCs w:val="20"/>
        </w:rPr>
        <w:t xml:space="preserve">There is a lack of information and context, necessary </w:t>
      </w:r>
      <w:r w:rsidRPr="00066A54">
        <w:rPr>
          <w:rFonts w:eastAsia="Arial" w:cs="Arial"/>
          <w:color w:val="000000" w:themeColor="text1"/>
          <w:szCs w:val="20"/>
        </w:rPr>
        <w:t>for educators to make informed decisions about what works (or not),</w:t>
      </w:r>
      <w:r w:rsidRPr="00066A54">
        <w:rPr>
          <w:rFonts w:cs="Arial"/>
          <w:szCs w:val="20"/>
        </w:rPr>
        <w:t xml:space="preserve"> provided in published papers. </w:t>
      </w:r>
      <w:r w:rsidR="3A0578BD" w:rsidRPr="00066A54">
        <w:rPr>
          <w:rFonts w:cs="Arial"/>
          <w:szCs w:val="20"/>
        </w:rPr>
        <w:t>Research to date focusses on short</w:t>
      </w:r>
      <w:r w:rsidR="1FCFED46" w:rsidRPr="00066A54">
        <w:rPr>
          <w:rFonts w:cs="Arial"/>
          <w:szCs w:val="20"/>
        </w:rPr>
        <w:t>-</w:t>
      </w:r>
      <w:r w:rsidR="3A0578BD" w:rsidRPr="00066A54">
        <w:rPr>
          <w:rFonts w:cs="Arial"/>
          <w:szCs w:val="20"/>
        </w:rPr>
        <w:t xml:space="preserve">term </w:t>
      </w:r>
      <w:r w:rsidR="76255B17" w:rsidRPr="00066A54">
        <w:rPr>
          <w:rFonts w:cs="Arial"/>
          <w:szCs w:val="20"/>
        </w:rPr>
        <w:t>impact relating to awareness, knowledge, and entrepreneurial intent</w:t>
      </w:r>
      <w:r w:rsidR="3A0578BD" w:rsidRPr="00066A54">
        <w:rPr>
          <w:rFonts w:cs="Arial"/>
          <w:szCs w:val="20"/>
        </w:rPr>
        <w:t>.</w:t>
      </w:r>
    </w:p>
    <w:p w14:paraId="25966B0A" w14:textId="77777777" w:rsidR="00066A54" w:rsidRPr="00066A54" w:rsidRDefault="00066A54" w:rsidP="00066A54">
      <w:pPr>
        <w:pStyle w:val="ListParagraph"/>
        <w:spacing w:after="120"/>
        <w:jc w:val="both"/>
        <w:rPr>
          <w:rFonts w:eastAsiaTheme="minorEastAsia" w:cs="Arial"/>
          <w:szCs w:val="20"/>
        </w:rPr>
      </w:pPr>
    </w:p>
    <w:p w14:paraId="74739956" w14:textId="33214F41" w:rsidR="00066A54" w:rsidRPr="00066A54" w:rsidRDefault="7831C3CD" w:rsidP="00066A54">
      <w:pPr>
        <w:pStyle w:val="ListParagraph"/>
        <w:numPr>
          <w:ilvl w:val="0"/>
          <w:numId w:val="1"/>
        </w:numPr>
        <w:spacing w:after="120"/>
        <w:jc w:val="both"/>
        <w:rPr>
          <w:rFonts w:eastAsiaTheme="minorEastAsia" w:cs="Arial"/>
          <w:szCs w:val="20"/>
        </w:rPr>
      </w:pPr>
      <w:r w:rsidRPr="00066A54">
        <w:rPr>
          <w:rFonts w:cs="Arial"/>
          <w:szCs w:val="20"/>
        </w:rPr>
        <w:t>Analysis of T</w:t>
      </w:r>
      <w:r w:rsidR="1B3268D2" w:rsidRPr="00066A54">
        <w:rPr>
          <w:rFonts w:cs="Arial"/>
          <w:szCs w:val="20"/>
        </w:rPr>
        <w:t>eaching Excellence Framework (T</w:t>
      </w:r>
      <w:r w:rsidRPr="00066A54">
        <w:rPr>
          <w:rFonts w:cs="Arial"/>
          <w:szCs w:val="20"/>
        </w:rPr>
        <w:t>EF</w:t>
      </w:r>
      <w:r w:rsidR="45A2C139" w:rsidRPr="00066A54">
        <w:rPr>
          <w:rFonts w:cs="Arial"/>
          <w:szCs w:val="20"/>
        </w:rPr>
        <w:t>)</w:t>
      </w:r>
      <w:r w:rsidR="1B97C851" w:rsidRPr="00066A54">
        <w:rPr>
          <w:rFonts w:cs="Arial"/>
          <w:szCs w:val="20"/>
        </w:rPr>
        <w:t xml:space="preserve"> submissions shows that the majority of institutions </w:t>
      </w:r>
      <w:r w:rsidR="724EF324" w:rsidRPr="00066A54">
        <w:rPr>
          <w:rFonts w:cs="Arial"/>
          <w:szCs w:val="20"/>
        </w:rPr>
        <w:t xml:space="preserve">include </w:t>
      </w:r>
      <w:proofErr w:type="spellStart"/>
      <w:r w:rsidR="424D16DB" w:rsidRPr="00066A54">
        <w:rPr>
          <w:rFonts w:cs="Arial"/>
          <w:szCs w:val="20"/>
        </w:rPr>
        <w:t>EntEd</w:t>
      </w:r>
      <w:proofErr w:type="spellEnd"/>
      <w:r w:rsidR="1B97C851" w:rsidRPr="00066A54">
        <w:rPr>
          <w:rFonts w:cs="Arial"/>
          <w:szCs w:val="20"/>
        </w:rPr>
        <w:t xml:space="preserve">-related activity in their submissions. </w:t>
      </w:r>
      <w:r w:rsidR="036225A3" w:rsidRPr="00066A54">
        <w:rPr>
          <w:rFonts w:cs="Arial"/>
          <w:szCs w:val="20"/>
        </w:rPr>
        <w:t xml:space="preserve">Results narratives </w:t>
      </w:r>
      <w:r w:rsidR="3C4EBE01" w:rsidRPr="00066A54">
        <w:rPr>
          <w:rFonts w:cs="Arial"/>
          <w:szCs w:val="20"/>
        </w:rPr>
        <w:t xml:space="preserve">are more likely to </w:t>
      </w:r>
      <w:r w:rsidR="56378124" w:rsidRPr="00066A54">
        <w:rPr>
          <w:rFonts w:cs="Arial"/>
          <w:szCs w:val="20"/>
        </w:rPr>
        <w:t xml:space="preserve">highlight </w:t>
      </w:r>
      <w:r w:rsidR="70EA15E9" w:rsidRPr="00066A54">
        <w:rPr>
          <w:rFonts w:cs="Arial"/>
          <w:szCs w:val="20"/>
        </w:rPr>
        <w:t>'enterprise’</w:t>
      </w:r>
      <w:r w:rsidR="75147AE5" w:rsidRPr="00066A54">
        <w:rPr>
          <w:rFonts w:cs="Arial"/>
          <w:szCs w:val="20"/>
        </w:rPr>
        <w:t xml:space="preserve"> </w:t>
      </w:r>
      <w:r w:rsidR="70EA15E9" w:rsidRPr="00066A54">
        <w:rPr>
          <w:rFonts w:cs="Arial"/>
          <w:szCs w:val="20"/>
        </w:rPr>
        <w:t xml:space="preserve">related </w:t>
      </w:r>
      <w:r w:rsidR="56378124" w:rsidRPr="00066A54">
        <w:rPr>
          <w:rFonts w:cs="Arial"/>
          <w:szCs w:val="20"/>
        </w:rPr>
        <w:t xml:space="preserve">activity </w:t>
      </w:r>
      <w:r w:rsidR="11C9417C" w:rsidRPr="00066A54">
        <w:rPr>
          <w:rFonts w:cs="Arial"/>
          <w:szCs w:val="20"/>
        </w:rPr>
        <w:t xml:space="preserve">at higher levels of TEF award and </w:t>
      </w:r>
      <w:r w:rsidR="56378124" w:rsidRPr="00066A54">
        <w:rPr>
          <w:rFonts w:cs="Arial"/>
          <w:szCs w:val="20"/>
        </w:rPr>
        <w:t xml:space="preserve">where it is </w:t>
      </w:r>
      <w:r w:rsidR="53833FC8" w:rsidRPr="00066A54">
        <w:rPr>
          <w:rFonts w:eastAsia="Arial" w:cs="Arial"/>
          <w:color w:val="000000" w:themeColor="text1"/>
          <w:szCs w:val="20"/>
        </w:rPr>
        <w:t xml:space="preserve">a sustained and strategic part </w:t>
      </w:r>
      <w:r w:rsidR="53216A2B" w:rsidRPr="00066A54">
        <w:rPr>
          <w:rFonts w:eastAsia="Arial" w:cs="Arial"/>
          <w:color w:val="000000" w:themeColor="text1"/>
          <w:szCs w:val="20"/>
        </w:rPr>
        <w:t xml:space="preserve">of </w:t>
      </w:r>
      <w:r w:rsidR="53833FC8" w:rsidRPr="00066A54">
        <w:rPr>
          <w:rFonts w:eastAsia="Arial" w:cs="Arial"/>
          <w:color w:val="000000" w:themeColor="text1"/>
          <w:szCs w:val="20"/>
        </w:rPr>
        <w:t>the university’s educational off</w:t>
      </w:r>
      <w:r w:rsidR="0D11480A" w:rsidRPr="00066A54">
        <w:rPr>
          <w:rFonts w:eastAsia="Arial" w:cs="Arial"/>
          <w:color w:val="000000" w:themeColor="text1"/>
          <w:szCs w:val="20"/>
        </w:rPr>
        <w:t xml:space="preserve">er.  </w:t>
      </w:r>
    </w:p>
    <w:p w14:paraId="76126588" w14:textId="77777777" w:rsidR="00066A54" w:rsidRPr="00066A54" w:rsidRDefault="00066A54" w:rsidP="00066A54">
      <w:pPr>
        <w:pStyle w:val="ListParagraph"/>
        <w:spacing w:after="120"/>
        <w:jc w:val="both"/>
        <w:rPr>
          <w:rFonts w:eastAsiaTheme="minorEastAsia" w:cs="Arial"/>
          <w:color w:val="000000" w:themeColor="text1"/>
          <w:szCs w:val="20"/>
        </w:rPr>
      </w:pPr>
    </w:p>
    <w:p w14:paraId="7D330CEE" w14:textId="1FEA2ECE" w:rsidR="15CA4CA7" w:rsidRPr="00066A54" w:rsidRDefault="15CA4CA7" w:rsidP="619EA3ED">
      <w:pPr>
        <w:pStyle w:val="ListParagraph"/>
        <w:numPr>
          <w:ilvl w:val="0"/>
          <w:numId w:val="1"/>
        </w:numPr>
        <w:spacing w:after="120"/>
        <w:jc w:val="both"/>
        <w:rPr>
          <w:rFonts w:eastAsiaTheme="minorEastAsia" w:cs="Arial"/>
          <w:color w:val="000000" w:themeColor="text1"/>
          <w:szCs w:val="20"/>
        </w:rPr>
      </w:pPr>
      <w:r w:rsidRPr="00066A54">
        <w:rPr>
          <w:rFonts w:eastAsia="Arial" w:cs="Arial"/>
          <w:color w:val="000000" w:themeColor="text1"/>
          <w:szCs w:val="20"/>
        </w:rPr>
        <w:t>Research and impact work relating to enterprise, entrepreneurship, or entrepreneurial education can provide a meaningful contribution to Research Excellence Framework (REF) results and therefore research funding. It can also have a significant impact on the communities it serves.</w:t>
      </w:r>
    </w:p>
    <w:p w14:paraId="0C87B50C" w14:textId="77777777" w:rsidR="00066A54" w:rsidRPr="00066A54" w:rsidRDefault="00066A54" w:rsidP="00066A54">
      <w:pPr>
        <w:pStyle w:val="ListParagraph"/>
        <w:spacing w:after="120"/>
        <w:jc w:val="both"/>
        <w:rPr>
          <w:rFonts w:eastAsiaTheme="minorEastAsia" w:cs="Arial"/>
          <w:color w:val="000000" w:themeColor="text1"/>
          <w:szCs w:val="20"/>
        </w:rPr>
      </w:pPr>
    </w:p>
    <w:p w14:paraId="26206B1D" w14:textId="4E096C92" w:rsidR="452AB4FA" w:rsidRPr="00066A54" w:rsidRDefault="452AB4FA" w:rsidP="08928105">
      <w:pPr>
        <w:pStyle w:val="ListParagraph"/>
        <w:numPr>
          <w:ilvl w:val="0"/>
          <w:numId w:val="1"/>
        </w:numPr>
        <w:spacing w:after="120"/>
        <w:jc w:val="both"/>
        <w:rPr>
          <w:rFonts w:eastAsiaTheme="minorEastAsia" w:cs="Arial"/>
          <w:color w:val="000000" w:themeColor="text1"/>
        </w:rPr>
      </w:pPr>
      <w:r w:rsidRPr="08928105">
        <w:rPr>
          <w:rFonts w:cs="Arial"/>
        </w:rPr>
        <w:t xml:space="preserve">Returns to the Higher Education Business and Community Interaction (HE-BCI) survey show that the </w:t>
      </w:r>
      <w:r w:rsidR="64F582DC" w:rsidRPr="08928105">
        <w:rPr>
          <w:rFonts w:cs="Arial"/>
        </w:rPr>
        <w:t xml:space="preserve">number of </w:t>
      </w:r>
      <w:r w:rsidRPr="08928105">
        <w:rPr>
          <w:rFonts w:cs="Arial"/>
        </w:rPr>
        <w:t xml:space="preserve">student and graduate new-start </w:t>
      </w:r>
      <w:r w:rsidR="7F51CEE9" w:rsidRPr="08928105">
        <w:rPr>
          <w:rFonts w:cs="Arial"/>
        </w:rPr>
        <w:t xml:space="preserve">businesses </w:t>
      </w:r>
      <w:r w:rsidRPr="08928105">
        <w:rPr>
          <w:rFonts w:cs="Arial"/>
        </w:rPr>
        <w:t xml:space="preserve">per year was relatively constant for the four years </w:t>
      </w:r>
      <w:r w:rsidR="4D229D84" w:rsidRPr="08928105">
        <w:rPr>
          <w:rFonts w:cs="Arial"/>
        </w:rPr>
        <w:t xml:space="preserve">analysed (2014/2015 to 2017/2018) </w:t>
      </w:r>
      <w:r w:rsidRPr="08928105">
        <w:rPr>
          <w:rFonts w:cs="Arial"/>
        </w:rPr>
        <w:t>at around 4,000 business each year</w:t>
      </w:r>
      <w:r w:rsidR="31444D66" w:rsidRPr="08928105">
        <w:rPr>
          <w:rFonts w:cs="Arial"/>
        </w:rPr>
        <w:t xml:space="preserve"> with </w:t>
      </w:r>
      <w:r w:rsidRPr="08928105">
        <w:rPr>
          <w:rFonts w:cs="Arial"/>
        </w:rPr>
        <w:t>a</w:t>
      </w:r>
      <w:r w:rsidR="386EEC1F" w:rsidRPr="08928105">
        <w:rPr>
          <w:rFonts w:cs="Arial"/>
        </w:rPr>
        <w:t xml:space="preserve"> </w:t>
      </w:r>
      <w:r w:rsidRPr="08928105">
        <w:rPr>
          <w:rFonts w:cs="Arial"/>
        </w:rPr>
        <w:t xml:space="preserve">mean </w:t>
      </w:r>
      <w:r w:rsidR="3A6484B3" w:rsidRPr="08928105">
        <w:rPr>
          <w:rFonts w:cs="Arial"/>
        </w:rPr>
        <w:t xml:space="preserve">average </w:t>
      </w:r>
      <w:r w:rsidRPr="08928105">
        <w:rPr>
          <w:rFonts w:cs="Arial"/>
        </w:rPr>
        <w:t xml:space="preserve">of </w:t>
      </w:r>
      <w:r w:rsidR="6D3D9077" w:rsidRPr="7030D1C2">
        <w:rPr>
          <w:rFonts w:cs="Arial"/>
        </w:rPr>
        <w:t>3</w:t>
      </w:r>
      <w:r w:rsidR="003D07F3" w:rsidRPr="7030D1C2">
        <w:rPr>
          <w:rFonts w:cs="Arial"/>
        </w:rPr>
        <w:t>8</w:t>
      </w:r>
      <w:r w:rsidRPr="08928105">
        <w:rPr>
          <w:rFonts w:cs="Arial"/>
        </w:rPr>
        <w:t>.3 new</w:t>
      </w:r>
      <w:r w:rsidR="2B61E924" w:rsidRPr="08928105">
        <w:rPr>
          <w:rFonts w:cs="Arial"/>
        </w:rPr>
        <w:t>-</w:t>
      </w:r>
      <w:r w:rsidRPr="08928105">
        <w:rPr>
          <w:rFonts w:cs="Arial"/>
        </w:rPr>
        <w:t>starts per returning institution in 2017/2018</w:t>
      </w:r>
      <w:r w:rsidR="65FDECBA" w:rsidRPr="08928105">
        <w:rPr>
          <w:rFonts w:cs="Arial"/>
        </w:rPr>
        <w:t>.</w:t>
      </w:r>
      <w:r w:rsidRPr="08928105">
        <w:rPr>
          <w:rFonts w:cs="Arial"/>
        </w:rPr>
        <w:t xml:space="preserve"> Active companies reportedly employed an estimated </w:t>
      </w:r>
      <w:r w:rsidR="18449CC9" w:rsidRPr="08928105">
        <w:rPr>
          <w:rFonts w:cs="Arial"/>
        </w:rPr>
        <w:t xml:space="preserve">mean </w:t>
      </w:r>
      <w:r w:rsidRPr="08928105">
        <w:rPr>
          <w:rFonts w:cs="Arial"/>
        </w:rPr>
        <w:t>average of 1.9 FTE employees, and had an average estimated turnover of £53,506.</w:t>
      </w:r>
      <w:r w:rsidR="01E6992D" w:rsidRPr="08928105">
        <w:rPr>
          <w:rFonts w:cs="Arial"/>
        </w:rPr>
        <w:t xml:space="preserve"> </w:t>
      </w:r>
    </w:p>
    <w:p w14:paraId="2B61A1EC" w14:textId="77777777" w:rsidR="00066A54" w:rsidRPr="00066A54" w:rsidRDefault="00066A54" w:rsidP="00066A54">
      <w:pPr>
        <w:pStyle w:val="ListParagraph"/>
        <w:spacing w:after="120"/>
        <w:jc w:val="both"/>
        <w:rPr>
          <w:rFonts w:eastAsiaTheme="minorEastAsia" w:cs="Arial"/>
          <w:color w:val="000000" w:themeColor="text1"/>
          <w:szCs w:val="20"/>
        </w:rPr>
      </w:pPr>
    </w:p>
    <w:p w14:paraId="3F95E632" w14:textId="4D39543E" w:rsidR="01E6992D" w:rsidRPr="00066A54" w:rsidRDefault="01E6992D" w:rsidP="619EA3ED">
      <w:pPr>
        <w:pStyle w:val="ListParagraph"/>
        <w:numPr>
          <w:ilvl w:val="0"/>
          <w:numId w:val="1"/>
        </w:numPr>
        <w:spacing w:after="120"/>
        <w:jc w:val="both"/>
        <w:rPr>
          <w:rFonts w:eastAsiaTheme="minorEastAsia" w:cs="Arial"/>
          <w:color w:val="000000" w:themeColor="text1"/>
          <w:szCs w:val="20"/>
        </w:rPr>
      </w:pPr>
      <w:r w:rsidRPr="00066A54">
        <w:rPr>
          <w:rFonts w:eastAsia="Arial" w:cs="Arial"/>
          <w:color w:val="000000" w:themeColor="text1"/>
          <w:szCs w:val="20"/>
        </w:rPr>
        <w:t>3 of the 10 highest ranking institutions for new-start businesses in 2017/2018 were specialist art, music, dance, or drama institutions. This increased to 6 of the top 10 when a proxy for the proposed new Knowledge Excellence Fra</w:t>
      </w:r>
      <w:r w:rsidR="29C08063" w:rsidRPr="00066A54">
        <w:rPr>
          <w:rFonts w:eastAsia="Arial" w:cs="Arial"/>
          <w:color w:val="000000" w:themeColor="text1"/>
          <w:szCs w:val="20"/>
        </w:rPr>
        <w:t>mework (KEF) metric for student entrepreneurship was applied</w:t>
      </w:r>
      <w:r w:rsidR="00A6DA81" w:rsidRPr="00066A54">
        <w:rPr>
          <w:rFonts w:eastAsia="Arial" w:cs="Arial"/>
          <w:color w:val="000000" w:themeColor="text1"/>
          <w:szCs w:val="20"/>
        </w:rPr>
        <w:t>. The KEF proxy used here was the number of HE</w:t>
      </w:r>
      <w:r w:rsidR="278043CE" w:rsidRPr="00066A54">
        <w:rPr>
          <w:rFonts w:eastAsia="Arial" w:cs="Arial"/>
          <w:color w:val="000000" w:themeColor="text1"/>
          <w:szCs w:val="20"/>
        </w:rPr>
        <w:t xml:space="preserve">-BCI reported new-start businesses by an institution by its total student population </w:t>
      </w:r>
      <w:r w:rsidR="28FF9C0D" w:rsidRPr="00066A54">
        <w:rPr>
          <w:rFonts w:eastAsia="Arial" w:cs="Arial"/>
          <w:color w:val="000000" w:themeColor="text1"/>
          <w:szCs w:val="20"/>
        </w:rPr>
        <w:t xml:space="preserve">recorded </w:t>
      </w:r>
      <w:r w:rsidR="278043CE" w:rsidRPr="00066A54">
        <w:rPr>
          <w:rFonts w:eastAsia="Arial" w:cs="Arial"/>
          <w:color w:val="000000" w:themeColor="text1"/>
          <w:szCs w:val="20"/>
        </w:rPr>
        <w:t>for the same year</w:t>
      </w:r>
      <w:r w:rsidR="7D965573" w:rsidRPr="00066A54">
        <w:rPr>
          <w:rFonts w:eastAsia="Arial" w:cs="Arial"/>
          <w:color w:val="000000" w:themeColor="text1"/>
          <w:szCs w:val="20"/>
        </w:rPr>
        <w:t xml:space="preserve"> of data collection.</w:t>
      </w:r>
    </w:p>
    <w:p w14:paraId="6189D44B" w14:textId="77777777" w:rsidR="00066A54" w:rsidRPr="00066A54" w:rsidRDefault="00066A54" w:rsidP="00066A54">
      <w:pPr>
        <w:pStyle w:val="ListParagraph"/>
        <w:spacing w:after="120"/>
        <w:jc w:val="both"/>
        <w:rPr>
          <w:rFonts w:eastAsiaTheme="minorEastAsia" w:cs="Arial"/>
          <w:color w:val="000000" w:themeColor="text1"/>
          <w:szCs w:val="20"/>
        </w:rPr>
      </w:pPr>
    </w:p>
    <w:p w14:paraId="0EED07E1" w14:textId="5B8D9494" w:rsidR="6471B645" w:rsidRPr="00066A54" w:rsidRDefault="6471B645" w:rsidP="619EA3ED">
      <w:pPr>
        <w:pStyle w:val="ListParagraph"/>
        <w:numPr>
          <w:ilvl w:val="0"/>
          <w:numId w:val="1"/>
        </w:numPr>
        <w:spacing w:after="120"/>
        <w:jc w:val="both"/>
        <w:rPr>
          <w:rFonts w:eastAsiaTheme="minorEastAsia" w:cs="Arial"/>
          <w:color w:val="000000" w:themeColor="text1"/>
          <w:szCs w:val="20"/>
        </w:rPr>
      </w:pPr>
      <w:r w:rsidRPr="00066A54">
        <w:rPr>
          <w:rFonts w:eastAsia="Arial" w:cs="Arial"/>
          <w:color w:val="000000" w:themeColor="text1"/>
          <w:szCs w:val="20"/>
        </w:rPr>
        <w:t>The highest-ranking institution returned a number of new-starts to HE-BCI that equated to 12.7% of its total student FTE population in 2017/2018. Only 6 institutions (including the highest ranking) have a KEF proxy figure of over 2% of their total student FTE; 85 institutions report less than 0.5%.</w:t>
      </w:r>
    </w:p>
    <w:p w14:paraId="671EBEBC" w14:textId="7C2FC79A" w:rsidR="00885CD6" w:rsidRPr="00066A54" w:rsidRDefault="3894CA8D" w:rsidP="00A158CE">
      <w:pPr>
        <w:jc w:val="both"/>
        <w:rPr>
          <w:rFonts w:cs="Arial"/>
          <w:szCs w:val="20"/>
        </w:rPr>
      </w:pPr>
      <w:r w:rsidRPr="00066A54">
        <w:rPr>
          <w:rFonts w:cs="Arial"/>
          <w:szCs w:val="20"/>
        </w:rPr>
        <w:t>The results of the systematic literature review and the TEF, REF, HE-BCI and KEF proxy analysis have been used to inform questions to be used in a Delphi stud</w:t>
      </w:r>
      <w:r w:rsidR="63257BBE" w:rsidRPr="00066A54">
        <w:rPr>
          <w:rFonts w:cs="Arial"/>
          <w:szCs w:val="20"/>
        </w:rPr>
        <w:t xml:space="preserve">y exploring impact measurement, and will be taking forward into conference and journal submissions as appropriate. </w:t>
      </w:r>
    </w:p>
    <w:p w14:paraId="10753FE0" w14:textId="7D203C14" w:rsidR="00A158CE" w:rsidRDefault="00A158CE" w:rsidP="00A158CE">
      <w:pPr>
        <w:jc w:val="both"/>
        <w:rPr>
          <w:rFonts w:cs="Arial"/>
        </w:rPr>
      </w:pPr>
    </w:p>
    <w:p w14:paraId="58ADC4F3" w14:textId="1D697785" w:rsidR="00A158CE" w:rsidRDefault="00A158CE" w:rsidP="00A158CE">
      <w:pPr>
        <w:jc w:val="both"/>
        <w:rPr>
          <w:rFonts w:cs="Arial"/>
        </w:rPr>
      </w:pPr>
    </w:p>
    <w:p w14:paraId="721AE99A" w14:textId="0D80B34E" w:rsidR="00A158CE" w:rsidRDefault="00A158CE" w:rsidP="00A158CE">
      <w:pPr>
        <w:jc w:val="both"/>
        <w:rPr>
          <w:rFonts w:cs="Arial"/>
        </w:rPr>
      </w:pPr>
    </w:p>
    <w:p w14:paraId="1D6B82A4" w14:textId="407F961C" w:rsidR="00A158CE" w:rsidRDefault="00A158CE" w:rsidP="00A158CE">
      <w:pPr>
        <w:jc w:val="both"/>
        <w:rPr>
          <w:rFonts w:cs="Arial"/>
        </w:rPr>
      </w:pPr>
    </w:p>
    <w:p w14:paraId="79AE836A" w14:textId="36F47225" w:rsidR="00A158CE" w:rsidRDefault="00A158CE" w:rsidP="00A158CE">
      <w:pPr>
        <w:jc w:val="both"/>
        <w:rPr>
          <w:rFonts w:cs="Arial"/>
        </w:rPr>
      </w:pPr>
    </w:p>
    <w:p w14:paraId="5ACBBA00" w14:textId="54AB738E" w:rsidR="00A158CE" w:rsidRDefault="00A158CE" w:rsidP="00A158CE">
      <w:pPr>
        <w:jc w:val="both"/>
        <w:rPr>
          <w:rFonts w:cs="Arial"/>
        </w:rPr>
      </w:pPr>
    </w:p>
    <w:p w14:paraId="507CFB75" w14:textId="65C78E6B" w:rsidR="00A158CE" w:rsidRDefault="00A158CE" w:rsidP="00A158CE">
      <w:pPr>
        <w:jc w:val="both"/>
        <w:rPr>
          <w:rFonts w:cs="Arial"/>
        </w:rPr>
      </w:pPr>
    </w:p>
    <w:p w14:paraId="33AF93AF" w14:textId="71C1813B" w:rsidR="00A158CE" w:rsidRDefault="00A158CE" w:rsidP="00A158CE">
      <w:pPr>
        <w:jc w:val="both"/>
        <w:rPr>
          <w:rFonts w:cs="Arial"/>
        </w:rPr>
      </w:pPr>
    </w:p>
    <w:p w14:paraId="27879A6A" w14:textId="183B903A" w:rsidR="00A158CE" w:rsidRDefault="00A158CE" w:rsidP="00A158CE">
      <w:pPr>
        <w:jc w:val="both"/>
        <w:rPr>
          <w:rFonts w:cs="Arial"/>
        </w:rPr>
      </w:pPr>
    </w:p>
    <w:p w14:paraId="27688EC0" w14:textId="2B8BCD14" w:rsidR="00A158CE" w:rsidRDefault="00A158CE" w:rsidP="00A158CE">
      <w:pPr>
        <w:jc w:val="both"/>
        <w:rPr>
          <w:rFonts w:cs="Arial"/>
        </w:rPr>
      </w:pPr>
    </w:p>
    <w:p w14:paraId="2D474345" w14:textId="21EC8117" w:rsidR="00BD23FA" w:rsidRDefault="00BD23FA" w:rsidP="00A158CE">
      <w:pPr>
        <w:jc w:val="both"/>
        <w:rPr>
          <w:rFonts w:cs="Arial"/>
        </w:rPr>
      </w:pPr>
    </w:p>
    <w:p w14:paraId="09210CBA" w14:textId="77777777" w:rsidR="00BD23FA" w:rsidRPr="00885CD6" w:rsidRDefault="00BD23FA" w:rsidP="00A158CE">
      <w:pPr>
        <w:jc w:val="both"/>
        <w:rPr>
          <w:rFonts w:cs="Arial"/>
        </w:rPr>
      </w:pPr>
    </w:p>
    <w:p w14:paraId="020353AD" w14:textId="66990B14" w:rsidR="00A158CE" w:rsidRDefault="00A158CE" w:rsidP="00A158CE">
      <w:pPr>
        <w:pStyle w:val="Heading1"/>
      </w:pPr>
      <w:r>
        <w:lastRenderedPageBreak/>
        <w:t>Contents Page</w:t>
      </w:r>
    </w:p>
    <w:p w14:paraId="28C79835" w14:textId="0C2704AB" w:rsidR="00A158CE" w:rsidRDefault="00A158CE" w:rsidP="00A158CE">
      <w:pPr>
        <w:pStyle w:val="Style2"/>
        <w:numPr>
          <w:ilvl w:val="0"/>
          <w:numId w:val="0"/>
        </w:numPr>
        <w:ind w:left="360" w:hanging="360"/>
        <w:jc w:val="both"/>
      </w:pPr>
    </w:p>
    <w:p w14:paraId="0EC330FE" w14:textId="13B8525E" w:rsidR="00703C8D" w:rsidRDefault="00395D69">
      <w:pPr>
        <w:pStyle w:val="TOC2"/>
        <w:tabs>
          <w:tab w:val="left" w:pos="660"/>
          <w:tab w:val="right" w:leader="dot" w:pos="9016"/>
        </w:tabs>
        <w:rPr>
          <w:rFonts w:asciiTheme="minorHAnsi" w:eastAsiaTheme="minorEastAsia" w:hAnsiTheme="minorHAnsi"/>
          <w:noProof/>
          <w:sz w:val="22"/>
          <w:lang w:eastAsia="en-GB"/>
        </w:rPr>
      </w:pPr>
      <w:r>
        <w:fldChar w:fldCharType="begin"/>
      </w:r>
      <w:r>
        <w:instrText xml:space="preserve"> TOC \h \z \t "Style1,1,Style2,2,Style3,3" </w:instrText>
      </w:r>
      <w:r>
        <w:fldChar w:fldCharType="separate"/>
      </w:r>
      <w:hyperlink w:anchor="_Toc45203623" w:history="1">
        <w:r w:rsidR="00703C8D" w:rsidRPr="00B63046">
          <w:rPr>
            <w:rStyle w:val="Hyperlink"/>
            <w:noProof/>
          </w:rPr>
          <w:t>1.</w:t>
        </w:r>
        <w:r w:rsidR="00703C8D">
          <w:rPr>
            <w:rFonts w:asciiTheme="minorHAnsi" w:eastAsiaTheme="minorEastAsia" w:hAnsiTheme="minorHAnsi"/>
            <w:noProof/>
            <w:sz w:val="22"/>
            <w:lang w:eastAsia="en-GB"/>
          </w:rPr>
          <w:tab/>
        </w:r>
        <w:r w:rsidR="00703C8D" w:rsidRPr="00B63046">
          <w:rPr>
            <w:rStyle w:val="Hyperlink"/>
            <w:noProof/>
          </w:rPr>
          <w:t>Systematic Literature Review</w:t>
        </w:r>
        <w:r w:rsidR="00703C8D">
          <w:rPr>
            <w:noProof/>
            <w:webHidden/>
          </w:rPr>
          <w:tab/>
        </w:r>
        <w:r w:rsidR="00703C8D">
          <w:rPr>
            <w:noProof/>
            <w:webHidden/>
          </w:rPr>
          <w:fldChar w:fldCharType="begin"/>
        </w:r>
        <w:r w:rsidR="00703C8D">
          <w:rPr>
            <w:noProof/>
            <w:webHidden/>
          </w:rPr>
          <w:instrText xml:space="preserve"> PAGEREF _Toc45203623 \h </w:instrText>
        </w:r>
        <w:r w:rsidR="00703C8D">
          <w:rPr>
            <w:noProof/>
            <w:webHidden/>
          </w:rPr>
        </w:r>
        <w:r w:rsidR="00703C8D">
          <w:rPr>
            <w:noProof/>
            <w:webHidden/>
          </w:rPr>
          <w:fldChar w:fldCharType="separate"/>
        </w:r>
        <w:r w:rsidR="009D5C2F">
          <w:rPr>
            <w:noProof/>
            <w:webHidden/>
          </w:rPr>
          <w:t>4</w:t>
        </w:r>
        <w:r w:rsidR="00703C8D">
          <w:rPr>
            <w:noProof/>
            <w:webHidden/>
          </w:rPr>
          <w:fldChar w:fldCharType="end"/>
        </w:r>
      </w:hyperlink>
    </w:p>
    <w:p w14:paraId="713B3E29" w14:textId="2A742442" w:rsidR="00703C8D" w:rsidRDefault="006915F0">
      <w:pPr>
        <w:pStyle w:val="TOC3"/>
        <w:tabs>
          <w:tab w:val="left" w:pos="1100"/>
          <w:tab w:val="right" w:leader="dot" w:pos="9016"/>
        </w:tabs>
        <w:rPr>
          <w:rFonts w:asciiTheme="minorHAnsi" w:eastAsiaTheme="minorEastAsia" w:hAnsiTheme="minorHAnsi"/>
          <w:noProof/>
          <w:sz w:val="22"/>
          <w:lang w:eastAsia="en-GB"/>
        </w:rPr>
      </w:pPr>
      <w:hyperlink w:anchor="_Toc45203624" w:history="1">
        <w:r w:rsidR="00703C8D" w:rsidRPr="00B63046">
          <w:rPr>
            <w:rStyle w:val="Hyperlink"/>
            <w:noProof/>
          </w:rPr>
          <w:t>1.1</w:t>
        </w:r>
        <w:r w:rsidR="00703C8D">
          <w:rPr>
            <w:rFonts w:asciiTheme="minorHAnsi" w:eastAsiaTheme="minorEastAsia" w:hAnsiTheme="minorHAnsi"/>
            <w:noProof/>
            <w:sz w:val="22"/>
            <w:lang w:eastAsia="en-GB"/>
          </w:rPr>
          <w:tab/>
        </w:r>
        <w:r w:rsidR="00703C8D" w:rsidRPr="00B63046">
          <w:rPr>
            <w:rStyle w:val="Hyperlink"/>
            <w:noProof/>
          </w:rPr>
          <w:t>Action to date</w:t>
        </w:r>
        <w:r w:rsidR="00703C8D">
          <w:rPr>
            <w:noProof/>
            <w:webHidden/>
          </w:rPr>
          <w:tab/>
        </w:r>
        <w:r w:rsidR="00703C8D">
          <w:rPr>
            <w:noProof/>
            <w:webHidden/>
          </w:rPr>
          <w:fldChar w:fldCharType="begin"/>
        </w:r>
        <w:r w:rsidR="00703C8D">
          <w:rPr>
            <w:noProof/>
            <w:webHidden/>
          </w:rPr>
          <w:instrText xml:space="preserve"> PAGEREF _Toc45203624 \h </w:instrText>
        </w:r>
        <w:r w:rsidR="00703C8D">
          <w:rPr>
            <w:noProof/>
            <w:webHidden/>
          </w:rPr>
        </w:r>
        <w:r w:rsidR="00703C8D">
          <w:rPr>
            <w:noProof/>
            <w:webHidden/>
          </w:rPr>
          <w:fldChar w:fldCharType="separate"/>
        </w:r>
        <w:r w:rsidR="009D5C2F">
          <w:rPr>
            <w:noProof/>
            <w:webHidden/>
          </w:rPr>
          <w:t>4</w:t>
        </w:r>
        <w:r w:rsidR="00703C8D">
          <w:rPr>
            <w:noProof/>
            <w:webHidden/>
          </w:rPr>
          <w:fldChar w:fldCharType="end"/>
        </w:r>
      </w:hyperlink>
    </w:p>
    <w:p w14:paraId="08CCAC73" w14:textId="3F52D25A" w:rsidR="00703C8D" w:rsidRDefault="006915F0">
      <w:pPr>
        <w:pStyle w:val="TOC3"/>
        <w:tabs>
          <w:tab w:val="left" w:pos="1100"/>
          <w:tab w:val="right" w:leader="dot" w:pos="9016"/>
        </w:tabs>
        <w:rPr>
          <w:rFonts w:asciiTheme="minorHAnsi" w:eastAsiaTheme="minorEastAsia" w:hAnsiTheme="minorHAnsi"/>
          <w:noProof/>
          <w:sz w:val="22"/>
          <w:lang w:eastAsia="en-GB"/>
        </w:rPr>
      </w:pPr>
      <w:hyperlink w:anchor="_Toc45203625" w:history="1">
        <w:r w:rsidR="00703C8D" w:rsidRPr="00B63046">
          <w:rPr>
            <w:rStyle w:val="Hyperlink"/>
            <w:noProof/>
          </w:rPr>
          <w:t>1.2</w:t>
        </w:r>
        <w:r w:rsidR="00703C8D">
          <w:rPr>
            <w:rFonts w:asciiTheme="minorHAnsi" w:eastAsiaTheme="minorEastAsia" w:hAnsiTheme="minorHAnsi"/>
            <w:noProof/>
            <w:sz w:val="22"/>
            <w:lang w:eastAsia="en-GB"/>
          </w:rPr>
          <w:tab/>
        </w:r>
        <w:r w:rsidR="00703C8D" w:rsidRPr="00B63046">
          <w:rPr>
            <w:rStyle w:val="Hyperlink"/>
            <w:noProof/>
          </w:rPr>
          <w:t>How this information has been used</w:t>
        </w:r>
        <w:r w:rsidR="00703C8D">
          <w:rPr>
            <w:noProof/>
            <w:webHidden/>
          </w:rPr>
          <w:tab/>
        </w:r>
        <w:r w:rsidR="00703C8D">
          <w:rPr>
            <w:noProof/>
            <w:webHidden/>
          </w:rPr>
          <w:fldChar w:fldCharType="begin"/>
        </w:r>
        <w:r w:rsidR="00703C8D">
          <w:rPr>
            <w:noProof/>
            <w:webHidden/>
          </w:rPr>
          <w:instrText xml:space="preserve"> PAGEREF _Toc45203625 \h </w:instrText>
        </w:r>
        <w:r w:rsidR="00703C8D">
          <w:rPr>
            <w:noProof/>
            <w:webHidden/>
          </w:rPr>
        </w:r>
        <w:r w:rsidR="00703C8D">
          <w:rPr>
            <w:noProof/>
            <w:webHidden/>
          </w:rPr>
          <w:fldChar w:fldCharType="separate"/>
        </w:r>
        <w:r w:rsidR="009D5C2F">
          <w:rPr>
            <w:noProof/>
            <w:webHidden/>
          </w:rPr>
          <w:t>5</w:t>
        </w:r>
        <w:r w:rsidR="00703C8D">
          <w:rPr>
            <w:noProof/>
            <w:webHidden/>
          </w:rPr>
          <w:fldChar w:fldCharType="end"/>
        </w:r>
      </w:hyperlink>
    </w:p>
    <w:p w14:paraId="2F006D81" w14:textId="67ACD7C2" w:rsidR="00703C8D" w:rsidRDefault="006915F0">
      <w:pPr>
        <w:pStyle w:val="TOC3"/>
        <w:tabs>
          <w:tab w:val="left" w:pos="1100"/>
          <w:tab w:val="right" w:leader="dot" w:pos="9016"/>
        </w:tabs>
        <w:rPr>
          <w:rFonts w:asciiTheme="minorHAnsi" w:eastAsiaTheme="minorEastAsia" w:hAnsiTheme="minorHAnsi"/>
          <w:noProof/>
          <w:sz w:val="22"/>
          <w:lang w:eastAsia="en-GB"/>
        </w:rPr>
      </w:pPr>
      <w:hyperlink w:anchor="_Toc45203626" w:history="1">
        <w:r w:rsidR="00703C8D" w:rsidRPr="00B63046">
          <w:rPr>
            <w:rStyle w:val="Hyperlink"/>
            <w:noProof/>
          </w:rPr>
          <w:t>1.3</w:t>
        </w:r>
        <w:r w:rsidR="00703C8D">
          <w:rPr>
            <w:rFonts w:asciiTheme="minorHAnsi" w:eastAsiaTheme="minorEastAsia" w:hAnsiTheme="minorHAnsi"/>
            <w:noProof/>
            <w:sz w:val="22"/>
            <w:lang w:eastAsia="en-GB"/>
          </w:rPr>
          <w:tab/>
        </w:r>
        <w:r w:rsidR="00703C8D" w:rsidRPr="00B63046">
          <w:rPr>
            <w:rStyle w:val="Hyperlink"/>
            <w:noProof/>
          </w:rPr>
          <w:t>Next steps</w:t>
        </w:r>
        <w:r w:rsidR="00703C8D">
          <w:rPr>
            <w:noProof/>
            <w:webHidden/>
          </w:rPr>
          <w:tab/>
        </w:r>
        <w:r w:rsidR="00703C8D">
          <w:rPr>
            <w:noProof/>
            <w:webHidden/>
          </w:rPr>
          <w:fldChar w:fldCharType="begin"/>
        </w:r>
        <w:r w:rsidR="00703C8D">
          <w:rPr>
            <w:noProof/>
            <w:webHidden/>
          </w:rPr>
          <w:instrText xml:space="preserve"> PAGEREF _Toc45203626 \h </w:instrText>
        </w:r>
        <w:r w:rsidR="00703C8D">
          <w:rPr>
            <w:noProof/>
            <w:webHidden/>
          </w:rPr>
        </w:r>
        <w:r w:rsidR="00703C8D">
          <w:rPr>
            <w:noProof/>
            <w:webHidden/>
          </w:rPr>
          <w:fldChar w:fldCharType="separate"/>
        </w:r>
        <w:r w:rsidR="009D5C2F">
          <w:rPr>
            <w:noProof/>
            <w:webHidden/>
          </w:rPr>
          <w:t>5</w:t>
        </w:r>
        <w:r w:rsidR="00703C8D">
          <w:rPr>
            <w:noProof/>
            <w:webHidden/>
          </w:rPr>
          <w:fldChar w:fldCharType="end"/>
        </w:r>
      </w:hyperlink>
    </w:p>
    <w:p w14:paraId="3E75AA68" w14:textId="203278EA" w:rsidR="00703C8D" w:rsidRDefault="006915F0">
      <w:pPr>
        <w:pStyle w:val="TOC2"/>
        <w:tabs>
          <w:tab w:val="left" w:pos="660"/>
          <w:tab w:val="right" w:leader="dot" w:pos="9016"/>
        </w:tabs>
        <w:rPr>
          <w:rFonts w:asciiTheme="minorHAnsi" w:eastAsiaTheme="minorEastAsia" w:hAnsiTheme="minorHAnsi"/>
          <w:noProof/>
          <w:sz w:val="22"/>
          <w:lang w:eastAsia="en-GB"/>
        </w:rPr>
      </w:pPr>
      <w:hyperlink w:anchor="_Toc45203627" w:history="1">
        <w:r w:rsidR="00703C8D" w:rsidRPr="00B63046">
          <w:rPr>
            <w:rStyle w:val="Hyperlink"/>
            <w:noProof/>
          </w:rPr>
          <w:t>2.</w:t>
        </w:r>
        <w:r w:rsidR="00703C8D">
          <w:rPr>
            <w:rFonts w:asciiTheme="minorHAnsi" w:eastAsiaTheme="minorEastAsia" w:hAnsiTheme="minorHAnsi"/>
            <w:noProof/>
            <w:sz w:val="22"/>
            <w:lang w:eastAsia="en-GB"/>
          </w:rPr>
          <w:tab/>
        </w:r>
        <w:r w:rsidR="00703C8D" w:rsidRPr="00B63046">
          <w:rPr>
            <w:rStyle w:val="Hyperlink"/>
            <w:noProof/>
          </w:rPr>
          <w:t>Teaching Excellence Framework (TEF) Review</w:t>
        </w:r>
        <w:r w:rsidR="00703C8D">
          <w:rPr>
            <w:noProof/>
            <w:webHidden/>
          </w:rPr>
          <w:tab/>
        </w:r>
        <w:r w:rsidR="00703C8D">
          <w:rPr>
            <w:noProof/>
            <w:webHidden/>
          </w:rPr>
          <w:fldChar w:fldCharType="begin"/>
        </w:r>
        <w:r w:rsidR="00703C8D">
          <w:rPr>
            <w:noProof/>
            <w:webHidden/>
          </w:rPr>
          <w:instrText xml:space="preserve"> PAGEREF _Toc45203627 \h </w:instrText>
        </w:r>
        <w:r w:rsidR="00703C8D">
          <w:rPr>
            <w:noProof/>
            <w:webHidden/>
          </w:rPr>
        </w:r>
        <w:r w:rsidR="00703C8D">
          <w:rPr>
            <w:noProof/>
            <w:webHidden/>
          </w:rPr>
          <w:fldChar w:fldCharType="separate"/>
        </w:r>
        <w:r w:rsidR="009D5C2F">
          <w:rPr>
            <w:noProof/>
            <w:webHidden/>
          </w:rPr>
          <w:t>6</w:t>
        </w:r>
        <w:r w:rsidR="00703C8D">
          <w:rPr>
            <w:noProof/>
            <w:webHidden/>
          </w:rPr>
          <w:fldChar w:fldCharType="end"/>
        </w:r>
      </w:hyperlink>
    </w:p>
    <w:p w14:paraId="431728A1" w14:textId="2753757E" w:rsidR="00703C8D" w:rsidRDefault="006915F0">
      <w:pPr>
        <w:pStyle w:val="TOC3"/>
        <w:tabs>
          <w:tab w:val="left" w:pos="1100"/>
          <w:tab w:val="right" w:leader="dot" w:pos="9016"/>
        </w:tabs>
        <w:rPr>
          <w:rFonts w:asciiTheme="minorHAnsi" w:eastAsiaTheme="minorEastAsia" w:hAnsiTheme="minorHAnsi"/>
          <w:noProof/>
          <w:sz w:val="22"/>
          <w:lang w:eastAsia="en-GB"/>
        </w:rPr>
      </w:pPr>
      <w:hyperlink w:anchor="_Toc45203628" w:history="1">
        <w:r w:rsidR="00703C8D" w:rsidRPr="00B63046">
          <w:rPr>
            <w:rStyle w:val="Hyperlink"/>
            <w:noProof/>
          </w:rPr>
          <w:t>2.1</w:t>
        </w:r>
        <w:r w:rsidR="00703C8D">
          <w:rPr>
            <w:rFonts w:asciiTheme="minorHAnsi" w:eastAsiaTheme="minorEastAsia" w:hAnsiTheme="minorHAnsi"/>
            <w:noProof/>
            <w:sz w:val="22"/>
            <w:lang w:eastAsia="en-GB"/>
          </w:rPr>
          <w:tab/>
        </w:r>
        <w:r w:rsidR="00703C8D" w:rsidRPr="00B63046">
          <w:rPr>
            <w:rStyle w:val="Hyperlink"/>
            <w:noProof/>
          </w:rPr>
          <w:t>Action to date</w:t>
        </w:r>
        <w:r w:rsidR="00703C8D">
          <w:rPr>
            <w:noProof/>
            <w:webHidden/>
          </w:rPr>
          <w:tab/>
        </w:r>
        <w:r w:rsidR="00703C8D">
          <w:rPr>
            <w:noProof/>
            <w:webHidden/>
          </w:rPr>
          <w:fldChar w:fldCharType="begin"/>
        </w:r>
        <w:r w:rsidR="00703C8D">
          <w:rPr>
            <w:noProof/>
            <w:webHidden/>
          </w:rPr>
          <w:instrText xml:space="preserve"> PAGEREF _Toc45203628 \h </w:instrText>
        </w:r>
        <w:r w:rsidR="00703C8D">
          <w:rPr>
            <w:noProof/>
            <w:webHidden/>
          </w:rPr>
        </w:r>
        <w:r w:rsidR="00703C8D">
          <w:rPr>
            <w:noProof/>
            <w:webHidden/>
          </w:rPr>
          <w:fldChar w:fldCharType="separate"/>
        </w:r>
        <w:r w:rsidR="009D5C2F">
          <w:rPr>
            <w:noProof/>
            <w:webHidden/>
          </w:rPr>
          <w:t>6</w:t>
        </w:r>
        <w:r w:rsidR="00703C8D">
          <w:rPr>
            <w:noProof/>
            <w:webHidden/>
          </w:rPr>
          <w:fldChar w:fldCharType="end"/>
        </w:r>
      </w:hyperlink>
    </w:p>
    <w:p w14:paraId="6A7E81F3" w14:textId="72ABB7D8" w:rsidR="00703C8D" w:rsidRDefault="006915F0">
      <w:pPr>
        <w:pStyle w:val="TOC3"/>
        <w:tabs>
          <w:tab w:val="left" w:pos="1100"/>
          <w:tab w:val="right" w:leader="dot" w:pos="9016"/>
        </w:tabs>
        <w:rPr>
          <w:rFonts w:asciiTheme="minorHAnsi" w:eastAsiaTheme="minorEastAsia" w:hAnsiTheme="minorHAnsi"/>
          <w:noProof/>
          <w:sz w:val="22"/>
          <w:lang w:eastAsia="en-GB"/>
        </w:rPr>
      </w:pPr>
      <w:hyperlink w:anchor="_Toc45203629" w:history="1">
        <w:r w:rsidR="00703C8D" w:rsidRPr="00B63046">
          <w:rPr>
            <w:rStyle w:val="Hyperlink"/>
            <w:noProof/>
          </w:rPr>
          <w:t>2.2</w:t>
        </w:r>
        <w:r w:rsidR="00703C8D">
          <w:rPr>
            <w:rFonts w:asciiTheme="minorHAnsi" w:eastAsiaTheme="minorEastAsia" w:hAnsiTheme="minorHAnsi"/>
            <w:noProof/>
            <w:sz w:val="22"/>
            <w:lang w:eastAsia="en-GB"/>
          </w:rPr>
          <w:tab/>
        </w:r>
        <w:r w:rsidR="00703C8D" w:rsidRPr="00B63046">
          <w:rPr>
            <w:rStyle w:val="Hyperlink"/>
            <w:noProof/>
          </w:rPr>
          <w:t>How this information has been used</w:t>
        </w:r>
        <w:r w:rsidR="00703C8D">
          <w:rPr>
            <w:noProof/>
            <w:webHidden/>
          </w:rPr>
          <w:tab/>
        </w:r>
        <w:r w:rsidR="00703C8D">
          <w:rPr>
            <w:noProof/>
            <w:webHidden/>
          </w:rPr>
          <w:fldChar w:fldCharType="begin"/>
        </w:r>
        <w:r w:rsidR="00703C8D">
          <w:rPr>
            <w:noProof/>
            <w:webHidden/>
          </w:rPr>
          <w:instrText xml:space="preserve"> PAGEREF _Toc45203629 \h </w:instrText>
        </w:r>
        <w:r w:rsidR="00703C8D">
          <w:rPr>
            <w:noProof/>
            <w:webHidden/>
          </w:rPr>
        </w:r>
        <w:r w:rsidR="00703C8D">
          <w:rPr>
            <w:noProof/>
            <w:webHidden/>
          </w:rPr>
          <w:fldChar w:fldCharType="separate"/>
        </w:r>
        <w:r w:rsidR="009D5C2F">
          <w:rPr>
            <w:noProof/>
            <w:webHidden/>
          </w:rPr>
          <w:t>7</w:t>
        </w:r>
        <w:r w:rsidR="00703C8D">
          <w:rPr>
            <w:noProof/>
            <w:webHidden/>
          </w:rPr>
          <w:fldChar w:fldCharType="end"/>
        </w:r>
      </w:hyperlink>
    </w:p>
    <w:p w14:paraId="124C42D6" w14:textId="0DDCB4BC" w:rsidR="00703C8D" w:rsidRDefault="006915F0">
      <w:pPr>
        <w:pStyle w:val="TOC3"/>
        <w:tabs>
          <w:tab w:val="left" w:pos="1100"/>
          <w:tab w:val="right" w:leader="dot" w:pos="9016"/>
        </w:tabs>
        <w:rPr>
          <w:rFonts w:asciiTheme="minorHAnsi" w:eastAsiaTheme="minorEastAsia" w:hAnsiTheme="minorHAnsi"/>
          <w:noProof/>
          <w:sz w:val="22"/>
          <w:lang w:eastAsia="en-GB"/>
        </w:rPr>
      </w:pPr>
      <w:hyperlink w:anchor="_Toc45203630" w:history="1">
        <w:r w:rsidR="00703C8D" w:rsidRPr="00B63046">
          <w:rPr>
            <w:rStyle w:val="Hyperlink"/>
            <w:noProof/>
          </w:rPr>
          <w:t>2.3</w:t>
        </w:r>
        <w:r w:rsidR="00703C8D">
          <w:rPr>
            <w:rFonts w:asciiTheme="minorHAnsi" w:eastAsiaTheme="minorEastAsia" w:hAnsiTheme="minorHAnsi"/>
            <w:noProof/>
            <w:sz w:val="22"/>
            <w:lang w:eastAsia="en-GB"/>
          </w:rPr>
          <w:tab/>
        </w:r>
        <w:r w:rsidR="00703C8D" w:rsidRPr="00B63046">
          <w:rPr>
            <w:rStyle w:val="Hyperlink"/>
            <w:noProof/>
          </w:rPr>
          <w:t>Next steps</w:t>
        </w:r>
        <w:r w:rsidR="00703C8D">
          <w:rPr>
            <w:noProof/>
            <w:webHidden/>
          </w:rPr>
          <w:tab/>
        </w:r>
        <w:r w:rsidR="00703C8D">
          <w:rPr>
            <w:noProof/>
            <w:webHidden/>
          </w:rPr>
          <w:fldChar w:fldCharType="begin"/>
        </w:r>
        <w:r w:rsidR="00703C8D">
          <w:rPr>
            <w:noProof/>
            <w:webHidden/>
          </w:rPr>
          <w:instrText xml:space="preserve"> PAGEREF _Toc45203630 \h </w:instrText>
        </w:r>
        <w:r w:rsidR="00703C8D">
          <w:rPr>
            <w:noProof/>
            <w:webHidden/>
          </w:rPr>
        </w:r>
        <w:r w:rsidR="00703C8D">
          <w:rPr>
            <w:noProof/>
            <w:webHidden/>
          </w:rPr>
          <w:fldChar w:fldCharType="separate"/>
        </w:r>
        <w:r w:rsidR="009D5C2F">
          <w:rPr>
            <w:noProof/>
            <w:webHidden/>
          </w:rPr>
          <w:t>7</w:t>
        </w:r>
        <w:r w:rsidR="00703C8D">
          <w:rPr>
            <w:noProof/>
            <w:webHidden/>
          </w:rPr>
          <w:fldChar w:fldCharType="end"/>
        </w:r>
      </w:hyperlink>
    </w:p>
    <w:p w14:paraId="12ACD360" w14:textId="2B981A17" w:rsidR="00703C8D" w:rsidRDefault="006915F0">
      <w:pPr>
        <w:pStyle w:val="TOC2"/>
        <w:tabs>
          <w:tab w:val="left" w:pos="660"/>
          <w:tab w:val="right" w:leader="dot" w:pos="9016"/>
        </w:tabs>
        <w:rPr>
          <w:rFonts w:asciiTheme="minorHAnsi" w:eastAsiaTheme="minorEastAsia" w:hAnsiTheme="minorHAnsi"/>
          <w:noProof/>
          <w:sz w:val="22"/>
          <w:lang w:eastAsia="en-GB"/>
        </w:rPr>
      </w:pPr>
      <w:hyperlink w:anchor="_Toc45203631" w:history="1">
        <w:r w:rsidR="00703C8D" w:rsidRPr="00B63046">
          <w:rPr>
            <w:rStyle w:val="Hyperlink"/>
            <w:noProof/>
          </w:rPr>
          <w:t>3.</w:t>
        </w:r>
        <w:r w:rsidR="00703C8D">
          <w:rPr>
            <w:rFonts w:asciiTheme="minorHAnsi" w:eastAsiaTheme="minorEastAsia" w:hAnsiTheme="minorHAnsi"/>
            <w:noProof/>
            <w:sz w:val="22"/>
            <w:lang w:eastAsia="en-GB"/>
          </w:rPr>
          <w:tab/>
        </w:r>
        <w:r w:rsidR="00703C8D" w:rsidRPr="00B63046">
          <w:rPr>
            <w:rStyle w:val="Hyperlink"/>
            <w:noProof/>
          </w:rPr>
          <w:t>Research Excellence Framework (REF) Review</w:t>
        </w:r>
        <w:r w:rsidR="00703C8D">
          <w:rPr>
            <w:noProof/>
            <w:webHidden/>
          </w:rPr>
          <w:tab/>
        </w:r>
        <w:r w:rsidR="00703C8D">
          <w:rPr>
            <w:noProof/>
            <w:webHidden/>
          </w:rPr>
          <w:fldChar w:fldCharType="begin"/>
        </w:r>
        <w:r w:rsidR="00703C8D">
          <w:rPr>
            <w:noProof/>
            <w:webHidden/>
          </w:rPr>
          <w:instrText xml:space="preserve"> PAGEREF _Toc45203631 \h </w:instrText>
        </w:r>
        <w:r w:rsidR="00703C8D">
          <w:rPr>
            <w:noProof/>
            <w:webHidden/>
          </w:rPr>
        </w:r>
        <w:r w:rsidR="00703C8D">
          <w:rPr>
            <w:noProof/>
            <w:webHidden/>
          </w:rPr>
          <w:fldChar w:fldCharType="separate"/>
        </w:r>
        <w:r w:rsidR="009D5C2F">
          <w:rPr>
            <w:noProof/>
            <w:webHidden/>
          </w:rPr>
          <w:t>8</w:t>
        </w:r>
        <w:r w:rsidR="00703C8D">
          <w:rPr>
            <w:noProof/>
            <w:webHidden/>
          </w:rPr>
          <w:fldChar w:fldCharType="end"/>
        </w:r>
      </w:hyperlink>
    </w:p>
    <w:p w14:paraId="0B35D63B" w14:textId="46B57809" w:rsidR="00703C8D" w:rsidRDefault="006915F0">
      <w:pPr>
        <w:pStyle w:val="TOC3"/>
        <w:tabs>
          <w:tab w:val="left" w:pos="1100"/>
          <w:tab w:val="right" w:leader="dot" w:pos="9016"/>
        </w:tabs>
        <w:rPr>
          <w:rFonts w:asciiTheme="minorHAnsi" w:eastAsiaTheme="minorEastAsia" w:hAnsiTheme="minorHAnsi"/>
          <w:noProof/>
          <w:sz w:val="22"/>
          <w:lang w:eastAsia="en-GB"/>
        </w:rPr>
      </w:pPr>
      <w:hyperlink w:anchor="_Toc45203632" w:history="1">
        <w:r w:rsidR="00703C8D" w:rsidRPr="00B63046">
          <w:rPr>
            <w:rStyle w:val="Hyperlink"/>
            <w:noProof/>
          </w:rPr>
          <w:t>3.1</w:t>
        </w:r>
        <w:r w:rsidR="00703C8D">
          <w:rPr>
            <w:rFonts w:asciiTheme="minorHAnsi" w:eastAsiaTheme="minorEastAsia" w:hAnsiTheme="minorHAnsi"/>
            <w:noProof/>
            <w:sz w:val="22"/>
            <w:lang w:eastAsia="en-GB"/>
          </w:rPr>
          <w:tab/>
        </w:r>
        <w:r w:rsidR="00703C8D" w:rsidRPr="00B63046">
          <w:rPr>
            <w:rStyle w:val="Hyperlink"/>
            <w:noProof/>
          </w:rPr>
          <w:t>Action to date</w:t>
        </w:r>
        <w:r w:rsidR="00703C8D">
          <w:rPr>
            <w:noProof/>
            <w:webHidden/>
          </w:rPr>
          <w:tab/>
        </w:r>
        <w:r w:rsidR="00703C8D">
          <w:rPr>
            <w:noProof/>
            <w:webHidden/>
          </w:rPr>
          <w:fldChar w:fldCharType="begin"/>
        </w:r>
        <w:r w:rsidR="00703C8D">
          <w:rPr>
            <w:noProof/>
            <w:webHidden/>
          </w:rPr>
          <w:instrText xml:space="preserve"> PAGEREF _Toc45203632 \h </w:instrText>
        </w:r>
        <w:r w:rsidR="00703C8D">
          <w:rPr>
            <w:noProof/>
            <w:webHidden/>
          </w:rPr>
        </w:r>
        <w:r w:rsidR="00703C8D">
          <w:rPr>
            <w:noProof/>
            <w:webHidden/>
          </w:rPr>
          <w:fldChar w:fldCharType="separate"/>
        </w:r>
        <w:r w:rsidR="009D5C2F">
          <w:rPr>
            <w:noProof/>
            <w:webHidden/>
          </w:rPr>
          <w:t>8</w:t>
        </w:r>
        <w:r w:rsidR="00703C8D">
          <w:rPr>
            <w:noProof/>
            <w:webHidden/>
          </w:rPr>
          <w:fldChar w:fldCharType="end"/>
        </w:r>
      </w:hyperlink>
    </w:p>
    <w:p w14:paraId="2B684C6F" w14:textId="0FCDAF22" w:rsidR="00703C8D" w:rsidRDefault="006915F0">
      <w:pPr>
        <w:pStyle w:val="TOC3"/>
        <w:tabs>
          <w:tab w:val="left" w:pos="1100"/>
          <w:tab w:val="right" w:leader="dot" w:pos="9016"/>
        </w:tabs>
        <w:rPr>
          <w:rFonts w:asciiTheme="minorHAnsi" w:eastAsiaTheme="minorEastAsia" w:hAnsiTheme="minorHAnsi"/>
          <w:noProof/>
          <w:sz w:val="22"/>
          <w:lang w:eastAsia="en-GB"/>
        </w:rPr>
      </w:pPr>
      <w:hyperlink w:anchor="_Toc45203633" w:history="1">
        <w:r w:rsidR="00703C8D" w:rsidRPr="00B63046">
          <w:rPr>
            <w:rStyle w:val="Hyperlink"/>
            <w:noProof/>
          </w:rPr>
          <w:t>3.2</w:t>
        </w:r>
        <w:r w:rsidR="00703C8D">
          <w:rPr>
            <w:rFonts w:asciiTheme="minorHAnsi" w:eastAsiaTheme="minorEastAsia" w:hAnsiTheme="minorHAnsi"/>
            <w:noProof/>
            <w:sz w:val="22"/>
            <w:lang w:eastAsia="en-GB"/>
          </w:rPr>
          <w:tab/>
        </w:r>
        <w:r w:rsidR="00703C8D" w:rsidRPr="00B63046">
          <w:rPr>
            <w:rStyle w:val="Hyperlink"/>
            <w:noProof/>
          </w:rPr>
          <w:t>How this information has been used</w:t>
        </w:r>
        <w:r w:rsidR="00703C8D">
          <w:rPr>
            <w:noProof/>
            <w:webHidden/>
          </w:rPr>
          <w:tab/>
        </w:r>
        <w:r w:rsidR="00703C8D">
          <w:rPr>
            <w:noProof/>
            <w:webHidden/>
          </w:rPr>
          <w:fldChar w:fldCharType="begin"/>
        </w:r>
        <w:r w:rsidR="00703C8D">
          <w:rPr>
            <w:noProof/>
            <w:webHidden/>
          </w:rPr>
          <w:instrText xml:space="preserve"> PAGEREF _Toc45203633 \h </w:instrText>
        </w:r>
        <w:r w:rsidR="00703C8D">
          <w:rPr>
            <w:noProof/>
            <w:webHidden/>
          </w:rPr>
        </w:r>
        <w:r w:rsidR="00703C8D">
          <w:rPr>
            <w:noProof/>
            <w:webHidden/>
          </w:rPr>
          <w:fldChar w:fldCharType="separate"/>
        </w:r>
        <w:r w:rsidR="009D5C2F">
          <w:rPr>
            <w:noProof/>
            <w:webHidden/>
          </w:rPr>
          <w:t>9</w:t>
        </w:r>
        <w:r w:rsidR="00703C8D">
          <w:rPr>
            <w:noProof/>
            <w:webHidden/>
          </w:rPr>
          <w:fldChar w:fldCharType="end"/>
        </w:r>
      </w:hyperlink>
    </w:p>
    <w:p w14:paraId="5B48FE3D" w14:textId="69934FE2" w:rsidR="00703C8D" w:rsidRDefault="006915F0">
      <w:pPr>
        <w:pStyle w:val="TOC3"/>
        <w:tabs>
          <w:tab w:val="left" w:pos="1100"/>
          <w:tab w:val="right" w:leader="dot" w:pos="9016"/>
        </w:tabs>
        <w:rPr>
          <w:rFonts w:asciiTheme="minorHAnsi" w:eastAsiaTheme="minorEastAsia" w:hAnsiTheme="minorHAnsi"/>
          <w:noProof/>
          <w:sz w:val="22"/>
          <w:lang w:eastAsia="en-GB"/>
        </w:rPr>
      </w:pPr>
      <w:hyperlink w:anchor="_Toc45203634" w:history="1">
        <w:r w:rsidR="00703C8D" w:rsidRPr="00B63046">
          <w:rPr>
            <w:rStyle w:val="Hyperlink"/>
            <w:noProof/>
          </w:rPr>
          <w:t>3.3</w:t>
        </w:r>
        <w:r w:rsidR="00703C8D">
          <w:rPr>
            <w:rFonts w:asciiTheme="minorHAnsi" w:eastAsiaTheme="minorEastAsia" w:hAnsiTheme="minorHAnsi"/>
            <w:noProof/>
            <w:sz w:val="22"/>
            <w:lang w:eastAsia="en-GB"/>
          </w:rPr>
          <w:tab/>
        </w:r>
        <w:r w:rsidR="00703C8D" w:rsidRPr="00B63046">
          <w:rPr>
            <w:rStyle w:val="Hyperlink"/>
            <w:noProof/>
          </w:rPr>
          <w:t>Next steps</w:t>
        </w:r>
        <w:r w:rsidR="00703C8D">
          <w:rPr>
            <w:noProof/>
            <w:webHidden/>
          </w:rPr>
          <w:tab/>
        </w:r>
        <w:r w:rsidR="00703C8D">
          <w:rPr>
            <w:noProof/>
            <w:webHidden/>
          </w:rPr>
          <w:fldChar w:fldCharType="begin"/>
        </w:r>
        <w:r w:rsidR="00703C8D">
          <w:rPr>
            <w:noProof/>
            <w:webHidden/>
          </w:rPr>
          <w:instrText xml:space="preserve"> PAGEREF _Toc45203634 \h </w:instrText>
        </w:r>
        <w:r w:rsidR="00703C8D">
          <w:rPr>
            <w:noProof/>
            <w:webHidden/>
          </w:rPr>
        </w:r>
        <w:r w:rsidR="00703C8D">
          <w:rPr>
            <w:noProof/>
            <w:webHidden/>
          </w:rPr>
          <w:fldChar w:fldCharType="separate"/>
        </w:r>
        <w:r w:rsidR="009D5C2F">
          <w:rPr>
            <w:noProof/>
            <w:webHidden/>
          </w:rPr>
          <w:t>9</w:t>
        </w:r>
        <w:r w:rsidR="00703C8D">
          <w:rPr>
            <w:noProof/>
            <w:webHidden/>
          </w:rPr>
          <w:fldChar w:fldCharType="end"/>
        </w:r>
      </w:hyperlink>
    </w:p>
    <w:p w14:paraId="1A4E41AE" w14:textId="0357B9D2" w:rsidR="00703C8D" w:rsidRDefault="006915F0">
      <w:pPr>
        <w:pStyle w:val="TOC2"/>
        <w:tabs>
          <w:tab w:val="left" w:pos="660"/>
          <w:tab w:val="right" w:leader="dot" w:pos="9016"/>
        </w:tabs>
        <w:rPr>
          <w:rFonts w:asciiTheme="minorHAnsi" w:eastAsiaTheme="minorEastAsia" w:hAnsiTheme="minorHAnsi"/>
          <w:noProof/>
          <w:sz w:val="22"/>
          <w:lang w:eastAsia="en-GB"/>
        </w:rPr>
      </w:pPr>
      <w:hyperlink w:anchor="_Toc45203635" w:history="1">
        <w:r w:rsidR="00703C8D" w:rsidRPr="00B63046">
          <w:rPr>
            <w:rStyle w:val="Hyperlink"/>
            <w:noProof/>
          </w:rPr>
          <w:t>4.</w:t>
        </w:r>
        <w:r w:rsidR="00703C8D">
          <w:rPr>
            <w:rFonts w:asciiTheme="minorHAnsi" w:eastAsiaTheme="minorEastAsia" w:hAnsiTheme="minorHAnsi"/>
            <w:noProof/>
            <w:sz w:val="22"/>
            <w:lang w:eastAsia="en-GB"/>
          </w:rPr>
          <w:tab/>
        </w:r>
        <w:r w:rsidR="00703C8D" w:rsidRPr="00B63046">
          <w:rPr>
            <w:rStyle w:val="Hyperlink"/>
            <w:noProof/>
          </w:rPr>
          <w:t>Higher Education Business &amp; Community Interaction survey (HE-BCI) and the Knowledge Excellence Framework (KEF) Review</w:t>
        </w:r>
        <w:r w:rsidR="00703C8D">
          <w:rPr>
            <w:noProof/>
            <w:webHidden/>
          </w:rPr>
          <w:tab/>
        </w:r>
        <w:r w:rsidR="00703C8D">
          <w:rPr>
            <w:noProof/>
            <w:webHidden/>
          </w:rPr>
          <w:fldChar w:fldCharType="begin"/>
        </w:r>
        <w:r w:rsidR="00703C8D">
          <w:rPr>
            <w:noProof/>
            <w:webHidden/>
          </w:rPr>
          <w:instrText xml:space="preserve"> PAGEREF _Toc45203635 \h </w:instrText>
        </w:r>
        <w:r w:rsidR="00703C8D">
          <w:rPr>
            <w:noProof/>
            <w:webHidden/>
          </w:rPr>
        </w:r>
        <w:r w:rsidR="00703C8D">
          <w:rPr>
            <w:noProof/>
            <w:webHidden/>
          </w:rPr>
          <w:fldChar w:fldCharType="separate"/>
        </w:r>
        <w:r w:rsidR="009D5C2F">
          <w:rPr>
            <w:noProof/>
            <w:webHidden/>
          </w:rPr>
          <w:t>10</w:t>
        </w:r>
        <w:r w:rsidR="00703C8D">
          <w:rPr>
            <w:noProof/>
            <w:webHidden/>
          </w:rPr>
          <w:fldChar w:fldCharType="end"/>
        </w:r>
      </w:hyperlink>
    </w:p>
    <w:p w14:paraId="473A69AE" w14:textId="706F4F01" w:rsidR="00703C8D" w:rsidRDefault="006915F0">
      <w:pPr>
        <w:pStyle w:val="TOC3"/>
        <w:tabs>
          <w:tab w:val="left" w:pos="1100"/>
          <w:tab w:val="right" w:leader="dot" w:pos="9016"/>
        </w:tabs>
        <w:rPr>
          <w:rFonts w:asciiTheme="minorHAnsi" w:eastAsiaTheme="minorEastAsia" w:hAnsiTheme="minorHAnsi"/>
          <w:noProof/>
          <w:sz w:val="22"/>
          <w:lang w:eastAsia="en-GB"/>
        </w:rPr>
      </w:pPr>
      <w:hyperlink w:anchor="_Toc45203636" w:history="1">
        <w:r w:rsidR="00703C8D" w:rsidRPr="00B63046">
          <w:rPr>
            <w:rStyle w:val="Hyperlink"/>
            <w:noProof/>
          </w:rPr>
          <w:t>4.1</w:t>
        </w:r>
        <w:r w:rsidR="00703C8D">
          <w:rPr>
            <w:rFonts w:asciiTheme="minorHAnsi" w:eastAsiaTheme="minorEastAsia" w:hAnsiTheme="minorHAnsi"/>
            <w:noProof/>
            <w:sz w:val="22"/>
            <w:lang w:eastAsia="en-GB"/>
          </w:rPr>
          <w:tab/>
        </w:r>
        <w:r w:rsidR="00703C8D" w:rsidRPr="00B63046">
          <w:rPr>
            <w:rStyle w:val="Hyperlink"/>
            <w:noProof/>
          </w:rPr>
          <w:t>Action to date</w:t>
        </w:r>
        <w:r w:rsidR="00703C8D">
          <w:rPr>
            <w:noProof/>
            <w:webHidden/>
          </w:rPr>
          <w:tab/>
        </w:r>
        <w:r w:rsidR="00703C8D">
          <w:rPr>
            <w:noProof/>
            <w:webHidden/>
          </w:rPr>
          <w:fldChar w:fldCharType="begin"/>
        </w:r>
        <w:r w:rsidR="00703C8D">
          <w:rPr>
            <w:noProof/>
            <w:webHidden/>
          </w:rPr>
          <w:instrText xml:space="preserve"> PAGEREF _Toc45203636 \h </w:instrText>
        </w:r>
        <w:r w:rsidR="00703C8D">
          <w:rPr>
            <w:noProof/>
            <w:webHidden/>
          </w:rPr>
        </w:r>
        <w:r w:rsidR="00703C8D">
          <w:rPr>
            <w:noProof/>
            <w:webHidden/>
          </w:rPr>
          <w:fldChar w:fldCharType="separate"/>
        </w:r>
        <w:r w:rsidR="009D5C2F">
          <w:rPr>
            <w:noProof/>
            <w:webHidden/>
          </w:rPr>
          <w:t>10</w:t>
        </w:r>
        <w:r w:rsidR="00703C8D">
          <w:rPr>
            <w:noProof/>
            <w:webHidden/>
          </w:rPr>
          <w:fldChar w:fldCharType="end"/>
        </w:r>
      </w:hyperlink>
    </w:p>
    <w:p w14:paraId="26F51E44" w14:textId="485F402F" w:rsidR="00703C8D" w:rsidRDefault="006915F0">
      <w:pPr>
        <w:pStyle w:val="TOC3"/>
        <w:tabs>
          <w:tab w:val="left" w:pos="1100"/>
          <w:tab w:val="right" w:leader="dot" w:pos="9016"/>
        </w:tabs>
        <w:rPr>
          <w:rFonts w:asciiTheme="minorHAnsi" w:eastAsiaTheme="minorEastAsia" w:hAnsiTheme="minorHAnsi"/>
          <w:noProof/>
          <w:sz w:val="22"/>
          <w:lang w:eastAsia="en-GB"/>
        </w:rPr>
      </w:pPr>
      <w:hyperlink w:anchor="_Toc45203637" w:history="1">
        <w:r w:rsidR="00703C8D" w:rsidRPr="00B63046">
          <w:rPr>
            <w:rStyle w:val="Hyperlink"/>
            <w:noProof/>
          </w:rPr>
          <w:t>4.2</w:t>
        </w:r>
        <w:r w:rsidR="00703C8D">
          <w:rPr>
            <w:rFonts w:asciiTheme="minorHAnsi" w:eastAsiaTheme="minorEastAsia" w:hAnsiTheme="minorHAnsi"/>
            <w:noProof/>
            <w:sz w:val="22"/>
            <w:lang w:eastAsia="en-GB"/>
          </w:rPr>
          <w:tab/>
        </w:r>
        <w:r w:rsidR="00703C8D" w:rsidRPr="00B63046">
          <w:rPr>
            <w:rStyle w:val="Hyperlink"/>
            <w:noProof/>
          </w:rPr>
          <w:t>How this information has been used</w:t>
        </w:r>
        <w:r w:rsidR="00703C8D">
          <w:rPr>
            <w:noProof/>
            <w:webHidden/>
          </w:rPr>
          <w:tab/>
        </w:r>
        <w:r w:rsidR="00703C8D">
          <w:rPr>
            <w:noProof/>
            <w:webHidden/>
          </w:rPr>
          <w:fldChar w:fldCharType="begin"/>
        </w:r>
        <w:r w:rsidR="00703C8D">
          <w:rPr>
            <w:noProof/>
            <w:webHidden/>
          </w:rPr>
          <w:instrText xml:space="preserve"> PAGEREF _Toc45203637 \h </w:instrText>
        </w:r>
        <w:r w:rsidR="00703C8D">
          <w:rPr>
            <w:noProof/>
            <w:webHidden/>
          </w:rPr>
        </w:r>
        <w:r w:rsidR="00703C8D">
          <w:rPr>
            <w:noProof/>
            <w:webHidden/>
          </w:rPr>
          <w:fldChar w:fldCharType="separate"/>
        </w:r>
        <w:r w:rsidR="009D5C2F">
          <w:rPr>
            <w:noProof/>
            <w:webHidden/>
          </w:rPr>
          <w:t>13</w:t>
        </w:r>
        <w:r w:rsidR="00703C8D">
          <w:rPr>
            <w:noProof/>
            <w:webHidden/>
          </w:rPr>
          <w:fldChar w:fldCharType="end"/>
        </w:r>
      </w:hyperlink>
    </w:p>
    <w:p w14:paraId="2496D951" w14:textId="4A6D7521" w:rsidR="00703C8D" w:rsidRDefault="006915F0">
      <w:pPr>
        <w:pStyle w:val="TOC3"/>
        <w:tabs>
          <w:tab w:val="left" w:pos="1100"/>
          <w:tab w:val="right" w:leader="dot" w:pos="9016"/>
        </w:tabs>
        <w:rPr>
          <w:rFonts w:asciiTheme="minorHAnsi" w:eastAsiaTheme="minorEastAsia" w:hAnsiTheme="minorHAnsi"/>
          <w:noProof/>
          <w:sz w:val="22"/>
          <w:lang w:eastAsia="en-GB"/>
        </w:rPr>
      </w:pPr>
      <w:hyperlink w:anchor="_Toc45203638" w:history="1">
        <w:r w:rsidR="00703C8D" w:rsidRPr="00B63046">
          <w:rPr>
            <w:rStyle w:val="Hyperlink"/>
            <w:noProof/>
          </w:rPr>
          <w:t>4.3</w:t>
        </w:r>
        <w:r w:rsidR="00703C8D">
          <w:rPr>
            <w:rFonts w:asciiTheme="minorHAnsi" w:eastAsiaTheme="minorEastAsia" w:hAnsiTheme="minorHAnsi"/>
            <w:noProof/>
            <w:sz w:val="22"/>
            <w:lang w:eastAsia="en-GB"/>
          </w:rPr>
          <w:tab/>
        </w:r>
        <w:r w:rsidR="00703C8D" w:rsidRPr="00B63046">
          <w:rPr>
            <w:rStyle w:val="Hyperlink"/>
            <w:noProof/>
          </w:rPr>
          <w:t>Next steps</w:t>
        </w:r>
        <w:r w:rsidR="00703C8D">
          <w:rPr>
            <w:noProof/>
            <w:webHidden/>
          </w:rPr>
          <w:tab/>
        </w:r>
        <w:r w:rsidR="00703C8D">
          <w:rPr>
            <w:noProof/>
            <w:webHidden/>
          </w:rPr>
          <w:fldChar w:fldCharType="begin"/>
        </w:r>
        <w:r w:rsidR="00703C8D">
          <w:rPr>
            <w:noProof/>
            <w:webHidden/>
          </w:rPr>
          <w:instrText xml:space="preserve"> PAGEREF _Toc45203638 \h </w:instrText>
        </w:r>
        <w:r w:rsidR="00703C8D">
          <w:rPr>
            <w:noProof/>
            <w:webHidden/>
          </w:rPr>
        </w:r>
        <w:r w:rsidR="00703C8D">
          <w:rPr>
            <w:noProof/>
            <w:webHidden/>
          </w:rPr>
          <w:fldChar w:fldCharType="separate"/>
        </w:r>
        <w:r w:rsidR="009D5C2F">
          <w:rPr>
            <w:noProof/>
            <w:webHidden/>
          </w:rPr>
          <w:t>13</w:t>
        </w:r>
        <w:r w:rsidR="00703C8D">
          <w:rPr>
            <w:noProof/>
            <w:webHidden/>
          </w:rPr>
          <w:fldChar w:fldCharType="end"/>
        </w:r>
      </w:hyperlink>
    </w:p>
    <w:p w14:paraId="4A1BBE42" w14:textId="1D5C869B" w:rsidR="00703C8D" w:rsidRDefault="006915F0">
      <w:pPr>
        <w:pStyle w:val="TOC2"/>
        <w:tabs>
          <w:tab w:val="left" w:pos="660"/>
          <w:tab w:val="right" w:leader="dot" w:pos="9016"/>
        </w:tabs>
        <w:rPr>
          <w:rFonts w:asciiTheme="minorHAnsi" w:eastAsiaTheme="minorEastAsia" w:hAnsiTheme="minorHAnsi"/>
          <w:noProof/>
          <w:sz w:val="22"/>
          <w:lang w:eastAsia="en-GB"/>
        </w:rPr>
      </w:pPr>
      <w:hyperlink w:anchor="_Toc45203639" w:history="1">
        <w:r w:rsidR="00703C8D" w:rsidRPr="00B63046">
          <w:rPr>
            <w:rStyle w:val="Hyperlink"/>
            <w:noProof/>
          </w:rPr>
          <w:t>5.</w:t>
        </w:r>
        <w:r w:rsidR="00703C8D">
          <w:rPr>
            <w:rFonts w:asciiTheme="minorHAnsi" w:eastAsiaTheme="minorEastAsia" w:hAnsiTheme="minorHAnsi"/>
            <w:noProof/>
            <w:sz w:val="22"/>
            <w:lang w:eastAsia="en-GB"/>
          </w:rPr>
          <w:tab/>
        </w:r>
        <w:r w:rsidR="00703C8D" w:rsidRPr="00B63046">
          <w:rPr>
            <w:rStyle w:val="Hyperlink"/>
            <w:noProof/>
          </w:rPr>
          <w:t>Graduate Outcomes</w:t>
        </w:r>
        <w:r w:rsidR="00703C8D">
          <w:rPr>
            <w:noProof/>
            <w:webHidden/>
          </w:rPr>
          <w:tab/>
        </w:r>
        <w:r w:rsidR="00703C8D">
          <w:rPr>
            <w:noProof/>
            <w:webHidden/>
          </w:rPr>
          <w:fldChar w:fldCharType="begin"/>
        </w:r>
        <w:r w:rsidR="00703C8D">
          <w:rPr>
            <w:noProof/>
            <w:webHidden/>
          </w:rPr>
          <w:instrText xml:space="preserve"> PAGEREF _Toc45203639 \h </w:instrText>
        </w:r>
        <w:r w:rsidR="00703C8D">
          <w:rPr>
            <w:noProof/>
            <w:webHidden/>
          </w:rPr>
        </w:r>
        <w:r w:rsidR="00703C8D">
          <w:rPr>
            <w:noProof/>
            <w:webHidden/>
          </w:rPr>
          <w:fldChar w:fldCharType="separate"/>
        </w:r>
        <w:r w:rsidR="009D5C2F">
          <w:rPr>
            <w:noProof/>
            <w:webHidden/>
          </w:rPr>
          <w:t>14</w:t>
        </w:r>
        <w:r w:rsidR="00703C8D">
          <w:rPr>
            <w:noProof/>
            <w:webHidden/>
          </w:rPr>
          <w:fldChar w:fldCharType="end"/>
        </w:r>
      </w:hyperlink>
    </w:p>
    <w:p w14:paraId="794B8B6E" w14:textId="01859CAD" w:rsidR="00395D69" w:rsidRDefault="00395D69" w:rsidP="00395D69">
      <w:r>
        <w:fldChar w:fldCharType="end"/>
      </w:r>
    </w:p>
    <w:p w14:paraId="13601813" w14:textId="36D14885" w:rsidR="00395D69" w:rsidRDefault="00395D69" w:rsidP="00395D69"/>
    <w:p w14:paraId="15D7E059" w14:textId="1016119A" w:rsidR="00395D69" w:rsidRDefault="00395D69" w:rsidP="00395D69"/>
    <w:p w14:paraId="39ADF492" w14:textId="618C64A5" w:rsidR="00395D69" w:rsidRDefault="00395D69" w:rsidP="00395D69"/>
    <w:p w14:paraId="61FE0573" w14:textId="6924021D" w:rsidR="00395D69" w:rsidRDefault="00395D69" w:rsidP="00395D69"/>
    <w:p w14:paraId="2571FD9C" w14:textId="211B12CE" w:rsidR="00395D69" w:rsidRDefault="00395D69" w:rsidP="00395D69"/>
    <w:p w14:paraId="26AD271A" w14:textId="5BC1E81C" w:rsidR="00395D69" w:rsidRDefault="00395D69" w:rsidP="00395D69"/>
    <w:p w14:paraId="38F267F1" w14:textId="468A665C" w:rsidR="00395D69" w:rsidRDefault="00395D69" w:rsidP="00395D69"/>
    <w:p w14:paraId="4685C125" w14:textId="144F8D99" w:rsidR="00395D69" w:rsidRDefault="00395D69" w:rsidP="00395D69"/>
    <w:p w14:paraId="4AF7E24D" w14:textId="22B174E6" w:rsidR="00395D69" w:rsidRDefault="00395D69" w:rsidP="00395D69"/>
    <w:p w14:paraId="0CDE55A1" w14:textId="4887AC32" w:rsidR="00395D69" w:rsidRDefault="00395D69" w:rsidP="00395D69"/>
    <w:p w14:paraId="17E5E889" w14:textId="6A169899" w:rsidR="00395D69" w:rsidRDefault="00395D69" w:rsidP="00395D69"/>
    <w:p w14:paraId="7FE914B2" w14:textId="2BCBFF2E" w:rsidR="00395D69" w:rsidRDefault="00395D69" w:rsidP="00395D69"/>
    <w:p w14:paraId="4C094DC5" w14:textId="1BF9520A" w:rsidR="00395D69" w:rsidRDefault="00395D69" w:rsidP="00395D69"/>
    <w:p w14:paraId="46CD0A72" w14:textId="431695D3" w:rsidR="00395D69" w:rsidRDefault="00395D69" w:rsidP="00395D69"/>
    <w:p w14:paraId="547E9465" w14:textId="170FD13E" w:rsidR="00395D69" w:rsidRDefault="00395D69" w:rsidP="00395D69"/>
    <w:p w14:paraId="54DAF63D" w14:textId="6F255D45" w:rsidR="00395D69" w:rsidRDefault="00395D69" w:rsidP="00395D69"/>
    <w:p w14:paraId="07781B7A" w14:textId="66B65F49" w:rsidR="00395D69" w:rsidRDefault="00395D69" w:rsidP="00395D69"/>
    <w:p w14:paraId="7D7263E9" w14:textId="0969CB4E" w:rsidR="00395D69" w:rsidRDefault="00395D69" w:rsidP="00395D69"/>
    <w:p w14:paraId="3AA91EC4" w14:textId="050E1E39" w:rsidR="00395D69" w:rsidRDefault="00395D69" w:rsidP="00395D69"/>
    <w:p w14:paraId="09AA1C18" w14:textId="5E047EB6" w:rsidR="00395D69" w:rsidRDefault="00395D69" w:rsidP="00395D69"/>
    <w:p w14:paraId="6D7DFC95" w14:textId="154FD29F" w:rsidR="00395D69" w:rsidRDefault="00395D69" w:rsidP="00395D69"/>
    <w:p w14:paraId="324FE638" w14:textId="3E3FBE9F" w:rsidR="00395D69" w:rsidRDefault="00395D69" w:rsidP="00395D69"/>
    <w:p w14:paraId="2E80B028" w14:textId="19F2B292" w:rsidR="00395D69" w:rsidRDefault="00395D69" w:rsidP="00395D69"/>
    <w:p w14:paraId="0EB93BD2" w14:textId="77777777" w:rsidR="00395D69" w:rsidRDefault="00395D69" w:rsidP="00395D69"/>
    <w:p w14:paraId="3DDC3AEB" w14:textId="44CD21DD" w:rsidR="00395D69" w:rsidRDefault="00395D69" w:rsidP="00395D69"/>
    <w:p w14:paraId="0C98E29F" w14:textId="603A9E3D" w:rsidR="00395D69" w:rsidRDefault="00395D69" w:rsidP="00395D69"/>
    <w:p w14:paraId="43D57801" w14:textId="6F69A324" w:rsidR="00395D69" w:rsidRDefault="00395D69" w:rsidP="00395D69"/>
    <w:p w14:paraId="42A481AE" w14:textId="3C0FD5BD" w:rsidR="00395D69" w:rsidRDefault="00395D69" w:rsidP="00395D69"/>
    <w:p w14:paraId="46879238" w14:textId="5A015106" w:rsidR="00395D69" w:rsidRDefault="00395D69" w:rsidP="00395D69"/>
    <w:p w14:paraId="50825485" w14:textId="18B34CF5" w:rsidR="00395D69" w:rsidRDefault="00395D69" w:rsidP="00395D69"/>
    <w:p w14:paraId="319C0B0D" w14:textId="77777777" w:rsidR="00395D69" w:rsidRDefault="00395D69" w:rsidP="00395D69"/>
    <w:p w14:paraId="21881A99" w14:textId="5A4DE4B3" w:rsidR="00D8599E" w:rsidRDefault="00885CD6" w:rsidP="00A158CE">
      <w:pPr>
        <w:pStyle w:val="Style2"/>
        <w:jc w:val="both"/>
      </w:pPr>
      <w:bookmarkStart w:id="0" w:name="_Toc45203623"/>
      <w:r>
        <w:lastRenderedPageBreak/>
        <w:t>Systematic Literature Review</w:t>
      </w:r>
      <w:bookmarkEnd w:id="0"/>
    </w:p>
    <w:p w14:paraId="7D71336C" w14:textId="77777777" w:rsidR="00D8599E" w:rsidRDefault="00D8599E" w:rsidP="00A158CE">
      <w:pPr>
        <w:pStyle w:val="Style2"/>
        <w:numPr>
          <w:ilvl w:val="0"/>
          <w:numId w:val="0"/>
        </w:numPr>
        <w:jc w:val="both"/>
      </w:pPr>
    </w:p>
    <w:p w14:paraId="7ACEC040" w14:textId="77777777" w:rsidR="00D8599E" w:rsidRPr="00D8599E" w:rsidRDefault="00D8599E" w:rsidP="00A158CE">
      <w:pPr>
        <w:pStyle w:val="Style3"/>
        <w:numPr>
          <w:ilvl w:val="1"/>
          <w:numId w:val="4"/>
        </w:numPr>
        <w:ind w:left="426" w:hanging="426"/>
        <w:jc w:val="both"/>
      </w:pPr>
      <w:bookmarkStart w:id="1" w:name="_Toc45203624"/>
      <w:r>
        <w:t>Action to date</w:t>
      </w:r>
      <w:bookmarkEnd w:id="1"/>
    </w:p>
    <w:p w14:paraId="68B24791" w14:textId="77777777" w:rsidR="00885CD6" w:rsidRDefault="00885CD6" w:rsidP="00A158CE">
      <w:pPr>
        <w:jc w:val="both"/>
      </w:pPr>
    </w:p>
    <w:p w14:paraId="1A706A4F" w14:textId="4A0FB5A4" w:rsidR="00885CD6" w:rsidRDefault="00D07749" w:rsidP="00A158CE">
      <w:pPr>
        <w:jc w:val="both"/>
      </w:pPr>
      <w:r>
        <w:t xml:space="preserve">A systematic literature review was conducted </w:t>
      </w:r>
      <w:r w:rsidR="00571F73">
        <w:t>based on</w:t>
      </w:r>
      <w:r>
        <w:t xml:space="preserve"> the methodologies used in a previ</w:t>
      </w:r>
      <w:r w:rsidR="201DE3E5">
        <w:t>ous</w:t>
      </w:r>
      <w:r>
        <w:t xml:space="preserve"> review conducted by Nabi et al. (2017)</w:t>
      </w:r>
      <w:r w:rsidRPr="619EA3ED">
        <w:rPr>
          <w:rStyle w:val="FootnoteReference"/>
        </w:rPr>
        <w:footnoteReference w:id="2"/>
      </w:r>
      <w:r>
        <w:t xml:space="preserve">. This was done to ensure that the literature used to inform this research </w:t>
      </w:r>
      <w:r w:rsidR="00F46430">
        <w:t xml:space="preserve">project </w:t>
      </w:r>
      <w:r>
        <w:t>was the most up to date possible.</w:t>
      </w:r>
      <w:r w:rsidR="00F46430">
        <w:t xml:space="preserve"> </w:t>
      </w:r>
    </w:p>
    <w:p w14:paraId="65AB0A00" w14:textId="77777777" w:rsidR="00F46430" w:rsidRDefault="00F46430" w:rsidP="00A158CE">
      <w:pPr>
        <w:jc w:val="both"/>
      </w:pPr>
    </w:p>
    <w:p w14:paraId="6DAB8FC4" w14:textId="18643C64" w:rsidR="00D07749" w:rsidRDefault="00927E56" w:rsidP="08928105">
      <w:pPr>
        <w:jc w:val="both"/>
      </w:pPr>
      <w:r>
        <w:t>In Stage 1, s</w:t>
      </w:r>
      <w:r w:rsidR="00F46430">
        <w:t xml:space="preserve">earches were conducted </w:t>
      </w:r>
      <w:r>
        <w:t xml:space="preserve">using recognised research databases </w:t>
      </w:r>
      <w:r w:rsidR="28D2082D">
        <w:t>(e.g. Science Direct, ProQuest, Social Science Citation Index</w:t>
      </w:r>
      <w:r w:rsidR="70B3CA6B">
        <w:t>)</w:t>
      </w:r>
      <w:r w:rsidR="28D2082D" w:rsidRPr="08928105">
        <w:rPr>
          <w:rFonts w:eastAsiaTheme="minorEastAsia"/>
          <w:szCs w:val="20"/>
        </w:rPr>
        <w:t xml:space="preserve"> </w:t>
      </w:r>
      <w:r w:rsidR="00F46430">
        <w:t>of literature published from 2016 onwards using the following combinations of search terms:</w:t>
      </w:r>
    </w:p>
    <w:p w14:paraId="69B75660" w14:textId="77777777" w:rsidR="00F46430" w:rsidRDefault="00F46430" w:rsidP="00A158CE">
      <w:pPr>
        <w:jc w:val="both"/>
      </w:pPr>
    </w:p>
    <w:p w14:paraId="39798A99" w14:textId="0EAE2EC2" w:rsidR="00F46430" w:rsidRDefault="00F46430" w:rsidP="00A158CE">
      <w:pPr>
        <w:pStyle w:val="ListParagraph"/>
        <w:numPr>
          <w:ilvl w:val="0"/>
          <w:numId w:val="6"/>
        </w:numPr>
        <w:jc w:val="both"/>
      </w:pPr>
      <w:r>
        <w:t>Entrepreneurship Education + Impact/Effect/Influence + Higher Education/College/University</w:t>
      </w:r>
      <w:r w:rsidR="002B180B">
        <w:t>.</w:t>
      </w:r>
    </w:p>
    <w:p w14:paraId="06C6F4BD" w14:textId="4B447C54" w:rsidR="00F46430" w:rsidRDefault="00F46430" w:rsidP="00A158CE">
      <w:pPr>
        <w:pStyle w:val="ListParagraph"/>
        <w:numPr>
          <w:ilvl w:val="0"/>
          <w:numId w:val="6"/>
        </w:numPr>
        <w:jc w:val="both"/>
      </w:pPr>
      <w:r>
        <w:t>Enterprise Education + Impact/Effect/Influence + Higher Education/College/University</w:t>
      </w:r>
      <w:r w:rsidR="002B180B">
        <w:t>.</w:t>
      </w:r>
    </w:p>
    <w:p w14:paraId="19A7B261" w14:textId="1D6270AB" w:rsidR="00F46430" w:rsidRDefault="00F46430" w:rsidP="00A158CE">
      <w:pPr>
        <w:pStyle w:val="ListParagraph"/>
        <w:numPr>
          <w:ilvl w:val="0"/>
          <w:numId w:val="6"/>
        </w:numPr>
        <w:jc w:val="both"/>
      </w:pPr>
      <w:r>
        <w:t>Entrepreneurial Education + Impact/Effect/Influence + Higher Education/College/ University</w:t>
      </w:r>
      <w:r w:rsidR="002B180B">
        <w:t>.</w:t>
      </w:r>
    </w:p>
    <w:p w14:paraId="51730429" w14:textId="648914E7" w:rsidR="00F46430" w:rsidRDefault="00F46430" w:rsidP="00A158CE">
      <w:pPr>
        <w:pStyle w:val="ListParagraph"/>
        <w:numPr>
          <w:ilvl w:val="0"/>
          <w:numId w:val="6"/>
        </w:numPr>
        <w:jc w:val="both"/>
      </w:pPr>
      <w:r>
        <w:t>Entrepreneurial Education + Impact/Effect/Influence + Tertiary Education</w:t>
      </w:r>
      <w:r w:rsidR="002B180B">
        <w:t>.</w:t>
      </w:r>
    </w:p>
    <w:p w14:paraId="44737954" w14:textId="74A1346D" w:rsidR="00F46430" w:rsidRDefault="00F46430" w:rsidP="00A158CE">
      <w:pPr>
        <w:pStyle w:val="ListParagraph"/>
        <w:numPr>
          <w:ilvl w:val="0"/>
          <w:numId w:val="6"/>
        </w:numPr>
        <w:jc w:val="both"/>
      </w:pPr>
      <w:r>
        <w:t>Entrepreneurship Education + Impact /Effect/Influence + Outcome/Result/Consequence</w:t>
      </w:r>
      <w:r w:rsidR="002B180B">
        <w:t>.</w:t>
      </w:r>
    </w:p>
    <w:p w14:paraId="1D025C97" w14:textId="1AC0E1C0" w:rsidR="00D07749" w:rsidRDefault="00D07749" w:rsidP="00A158CE">
      <w:pPr>
        <w:jc w:val="both"/>
      </w:pPr>
    </w:p>
    <w:p w14:paraId="7EA6D4DC" w14:textId="77777777" w:rsidR="00F46430" w:rsidRDefault="00F46430" w:rsidP="00A158CE">
      <w:pPr>
        <w:jc w:val="both"/>
      </w:pPr>
      <w:r>
        <w:t>This re</w:t>
      </w:r>
      <w:r w:rsidR="00927E56">
        <w:t>sulted in identification of 322 outputs for further consideration in Stage 2 of the review</w:t>
      </w:r>
      <w:r>
        <w:t>.</w:t>
      </w:r>
    </w:p>
    <w:p w14:paraId="6140EB1D" w14:textId="77777777" w:rsidR="00F46430" w:rsidRDefault="00F46430" w:rsidP="00A158CE">
      <w:pPr>
        <w:jc w:val="both"/>
      </w:pPr>
    </w:p>
    <w:p w14:paraId="1288A6A8" w14:textId="77777777" w:rsidR="00F46430" w:rsidRDefault="00927E56" w:rsidP="00A158CE">
      <w:pPr>
        <w:jc w:val="both"/>
      </w:pPr>
      <w:r>
        <w:t>In Stage 2, papers were selected based on the following criteria:</w:t>
      </w:r>
    </w:p>
    <w:p w14:paraId="1F6E3CD2" w14:textId="77777777" w:rsidR="00927E56" w:rsidRDefault="00927E56" w:rsidP="00A158CE">
      <w:pPr>
        <w:jc w:val="both"/>
      </w:pPr>
    </w:p>
    <w:p w14:paraId="63200A32" w14:textId="676523D8" w:rsidR="00927E56" w:rsidRDefault="00927E56" w:rsidP="00A158CE">
      <w:pPr>
        <w:pStyle w:val="ListParagraph"/>
        <w:numPr>
          <w:ilvl w:val="0"/>
          <w:numId w:val="7"/>
        </w:numPr>
        <w:jc w:val="both"/>
      </w:pPr>
      <w:r>
        <w:t>Scholarly Peer Reviewed</w:t>
      </w:r>
      <w:r w:rsidR="002B180B">
        <w:t>;</w:t>
      </w:r>
    </w:p>
    <w:p w14:paraId="5F340C0F" w14:textId="73121EF0" w:rsidR="00927E56" w:rsidRDefault="00927E56" w:rsidP="00A158CE">
      <w:pPr>
        <w:pStyle w:val="ListParagraph"/>
        <w:numPr>
          <w:ilvl w:val="0"/>
          <w:numId w:val="7"/>
        </w:numPr>
        <w:jc w:val="both"/>
      </w:pPr>
      <w:r>
        <w:t>English</w:t>
      </w:r>
      <w:r w:rsidRPr="00927E56">
        <w:t xml:space="preserve"> </w:t>
      </w:r>
      <w:r>
        <w:t>Language</w:t>
      </w:r>
      <w:r w:rsidR="002B180B">
        <w:t>; and</w:t>
      </w:r>
    </w:p>
    <w:p w14:paraId="6ABF8ADE" w14:textId="1939D5D3" w:rsidR="00927E56" w:rsidRDefault="00927E56" w:rsidP="00A158CE">
      <w:pPr>
        <w:pStyle w:val="ListParagraph"/>
        <w:numPr>
          <w:ilvl w:val="0"/>
          <w:numId w:val="7"/>
        </w:numPr>
        <w:jc w:val="both"/>
      </w:pPr>
      <w:r>
        <w:t>Published in an Academic Journal</w:t>
      </w:r>
      <w:r w:rsidR="002B180B">
        <w:t>.</w:t>
      </w:r>
    </w:p>
    <w:p w14:paraId="513F444F" w14:textId="77777777" w:rsidR="00927E56" w:rsidRDefault="00927E56" w:rsidP="00A158CE">
      <w:pPr>
        <w:jc w:val="both"/>
      </w:pPr>
    </w:p>
    <w:p w14:paraId="032C667E" w14:textId="1F466A74" w:rsidR="00927E56" w:rsidRDefault="002B180B" w:rsidP="00A158CE">
      <w:pPr>
        <w:jc w:val="both"/>
      </w:pPr>
      <w:r>
        <w:t xml:space="preserve">This resulted in </w:t>
      </w:r>
      <w:r w:rsidR="00927E56">
        <w:t xml:space="preserve">60 articles </w:t>
      </w:r>
      <w:r>
        <w:t>being</w:t>
      </w:r>
      <w:r w:rsidR="00927E56">
        <w:t xml:space="preserve"> passed onto Stage 3. Here, members of the project team</w:t>
      </w:r>
      <w:r w:rsidR="002367BC">
        <w:t xml:space="preserve"> divided the articles </w:t>
      </w:r>
      <w:r w:rsidR="00332334">
        <w:t xml:space="preserve">to be assessed </w:t>
      </w:r>
      <w:r w:rsidR="002367BC">
        <w:t xml:space="preserve">amongst themselves. The results of this process were then </w:t>
      </w:r>
      <w:r w:rsidR="00927E56">
        <w:t>discussed</w:t>
      </w:r>
      <w:r w:rsidR="00FC7250">
        <w:t xml:space="preserve"> between the team</w:t>
      </w:r>
      <w:r w:rsidR="00332334">
        <w:t xml:space="preserve"> and</w:t>
      </w:r>
      <w:r w:rsidR="00927E56">
        <w:t xml:space="preserve"> </w:t>
      </w:r>
      <w:r w:rsidR="00332334">
        <w:t>a decision on the inclusion of the article was made.</w:t>
      </w:r>
      <w:r w:rsidR="00927E56">
        <w:t xml:space="preserve"> </w:t>
      </w:r>
    </w:p>
    <w:p w14:paraId="59649071" w14:textId="77777777" w:rsidR="00927E56" w:rsidRDefault="00927E56" w:rsidP="00A158CE">
      <w:pPr>
        <w:jc w:val="both"/>
      </w:pPr>
    </w:p>
    <w:p w14:paraId="02062064" w14:textId="52675675" w:rsidR="00927E56" w:rsidRDefault="4ED047F0" w:rsidP="00A158CE">
      <w:pPr>
        <w:jc w:val="both"/>
      </w:pPr>
      <w:r>
        <w:t xml:space="preserve">The Stage 3 review criteria </w:t>
      </w:r>
      <w:proofErr w:type="gramStart"/>
      <w:r>
        <w:t>was</w:t>
      </w:r>
      <w:proofErr w:type="gramEnd"/>
      <w:r>
        <w:t xml:space="preserve"> based on that used by Nabi et al. (2017). </w:t>
      </w:r>
      <w:r w:rsidR="00927E56">
        <w:t>Articles were rejected if:</w:t>
      </w:r>
    </w:p>
    <w:p w14:paraId="40153E92" w14:textId="77777777" w:rsidR="00927E56" w:rsidRDefault="00927E56" w:rsidP="00A158CE">
      <w:pPr>
        <w:jc w:val="both"/>
      </w:pPr>
    </w:p>
    <w:p w14:paraId="0A0E4142" w14:textId="30D63963" w:rsidR="00927E56" w:rsidRDefault="001A4E52" w:rsidP="00A158CE">
      <w:pPr>
        <w:pStyle w:val="ListParagraph"/>
        <w:numPr>
          <w:ilvl w:val="0"/>
          <w:numId w:val="9"/>
        </w:numPr>
        <w:jc w:val="both"/>
      </w:pPr>
      <w:r>
        <w:t>It was a c</w:t>
      </w:r>
      <w:r w:rsidR="00927E56">
        <w:t xml:space="preserve">onceptual </w:t>
      </w:r>
      <w:r>
        <w:t>p</w:t>
      </w:r>
      <w:r w:rsidR="00927E56">
        <w:t>aper</w:t>
      </w:r>
      <w:r w:rsidR="00B77934">
        <w:t>;</w:t>
      </w:r>
    </w:p>
    <w:p w14:paraId="5FEA3FC4" w14:textId="49266D41" w:rsidR="00927E56" w:rsidRDefault="001A4E52" w:rsidP="00A158CE">
      <w:pPr>
        <w:pStyle w:val="ListParagraph"/>
        <w:numPr>
          <w:ilvl w:val="0"/>
          <w:numId w:val="9"/>
        </w:numPr>
        <w:jc w:val="both"/>
      </w:pPr>
      <w:r>
        <w:t>T</w:t>
      </w:r>
      <w:r w:rsidR="00927E56">
        <w:t xml:space="preserve">here </w:t>
      </w:r>
      <w:r>
        <w:t>was insufficient i</w:t>
      </w:r>
      <w:r w:rsidR="00927E56">
        <w:t>nformation or context provided on the level and</w:t>
      </w:r>
      <w:r w:rsidR="009C6081">
        <w:t>/or</w:t>
      </w:r>
      <w:r w:rsidR="00927E56">
        <w:t xml:space="preserve"> type of educational intervention provided</w:t>
      </w:r>
      <w:r w:rsidR="00B77934">
        <w:t>;</w:t>
      </w:r>
    </w:p>
    <w:p w14:paraId="389D2449" w14:textId="5356B4E7" w:rsidR="001A4E52" w:rsidRDefault="001A4E52" w:rsidP="00A158CE">
      <w:pPr>
        <w:pStyle w:val="ListParagraph"/>
        <w:numPr>
          <w:ilvl w:val="0"/>
          <w:numId w:val="9"/>
        </w:numPr>
        <w:jc w:val="both"/>
      </w:pPr>
      <w:r>
        <w:t xml:space="preserve">The article was based on </w:t>
      </w:r>
      <w:r w:rsidR="00927E56">
        <w:t xml:space="preserve">student populations </w:t>
      </w:r>
      <w:r w:rsidR="00A34C9A">
        <w:t xml:space="preserve">in general </w:t>
      </w:r>
      <w:r w:rsidR="00927E56">
        <w:t xml:space="preserve">rather than </w:t>
      </w:r>
      <w:r>
        <w:t xml:space="preserve">exploring links to </w:t>
      </w:r>
      <w:r w:rsidR="00A34C9A">
        <w:t xml:space="preserve">specific </w:t>
      </w:r>
      <w:r>
        <w:t>enterprise education</w:t>
      </w:r>
      <w:r w:rsidR="00A34C9A">
        <w:t xml:space="preserve"> initiatives</w:t>
      </w:r>
      <w:r w:rsidR="00B77934">
        <w:t>;</w:t>
      </w:r>
    </w:p>
    <w:p w14:paraId="7F85D570" w14:textId="17BAC55C" w:rsidR="00927E56" w:rsidRDefault="00D639CA" w:rsidP="00A158CE">
      <w:pPr>
        <w:pStyle w:val="ListParagraph"/>
        <w:numPr>
          <w:ilvl w:val="0"/>
          <w:numId w:val="9"/>
        </w:numPr>
        <w:jc w:val="both"/>
      </w:pPr>
      <w:r>
        <w:t>The article f</w:t>
      </w:r>
      <w:r w:rsidR="001A4E52">
        <w:t>ocussed on University-provided support of current entrepreneurs or community start-up training</w:t>
      </w:r>
      <w:r w:rsidR="00927E56">
        <w:t xml:space="preserve"> rather than </w:t>
      </w:r>
      <w:r w:rsidR="001A4E52">
        <w:t xml:space="preserve">on the </w:t>
      </w:r>
      <w:r w:rsidR="00927E56">
        <w:t>student</w:t>
      </w:r>
      <w:r w:rsidR="001A4E52">
        <w:t xml:space="preserve"> learning experience</w:t>
      </w:r>
      <w:r w:rsidR="00B77934">
        <w:t>; or</w:t>
      </w:r>
    </w:p>
    <w:p w14:paraId="4C5A307C" w14:textId="73321B15" w:rsidR="00927E56" w:rsidRDefault="00D639CA" w:rsidP="00A158CE">
      <w:pPr>
        <w:pStyle w:val="ListParagraph"/>
        <w:numPr>
          <w:ilvl w:val="0"/>
          <w:numId w:val="9"/>
        </w:numPr>
        <w:jc w:val="both"/>
      </w:pPr>
      <w:r w:rsidRPr="00D639CA">
        <w:t xml:space="preserve">The article focussed </w:t>
      </w:r>
      <w:r w:rsidR="001A4E52">
        <w:t>on e</w:t>
      </w:r>
      <w:r w:rsidR="00927E56">
        <w:t xml:space="preserve">ducators rather than </w:t>
      </w:r>
      <w:r w:rsidR="001A4E52">
        <w:t xml:space="preserve">the </w:t>
      </w:r>
      <w:r w:rsidR="00927E56">
        <w:t>students</w:t>
      </w:r>
      <w:r w:rsidR="001A4E52">
        <w:t xml:space="preserve"> themselves</w:t>
      </w:r>
      <w:r w:rsidR="00B77934">
        <w:t>.</w:t>
      </w:r>
    </w:p>
    <w:p w14:paraId="3B02D632" w14:textId="77777777" w:rsidR="00927E56" w:rsidRDefault="00927E56" w:rsidP="00A158CE">
      <w:pPr>
        <w:jc w:val="both"/>
      </w:pPr>
    </w:p>
    <w:p w14:paraId="76E00B23" w14:textId="60AD539B" w:rsidR="001A4E52" w:rsidRDefault="001A4E52" w:rsidP="00A158CE">
      <w:pPr>
        <w:jc w:val="both"/>
      </w:pPr>
      <w:r>
        <w:t xml:space="preserve">A final set of 18 papers </w:t>
      </w:r>
      <w:r w:rsidR="00D639CA">
        <w:t xml:space="preserve">were selected for review. They </w:t>
      </w:r>
      <w:r w:rsidR="005A31E7">
        <w:t xml:space="preserve">were assessed </w:t>
      </w:r>
      <w:r w:rsidR="00D639CA">
        <w:t xml:space="preserve">by the project team </w:t>
      </w:r>
      <w:r w:rsidR="005A31E7">
        <w:t xml:space="preserve">using two criteria </w:t>
      </w:r>
      <w:r w:rsidR="003A2B8C">
        <w:t>set out in Nabi et al. (2017): the nature of entrepreneurship education pedagogical methods, and operational level impact indicators (see Figure 1</w:t>
      </w:r>
      <w:r w:rsidR="001D0322">
        <w:t xml:space="preserve"> overleaf</w:t>
      </w:r>
      <w:r w:rsidR="003A2B8C">
        <w:t>).</w:t>
      </w:r>
    </w:p>
    <w:p w14:paraId="0C1828CA" w14:textId="6ABEE306" w:rsidR="003A2B8C" w:rsidRDefault="003A2B8C" w:rsidP="00A158CE">
      <w:pPr>
        <w:jc w:val="both"/>
      </w:pPr>
    </w:p>
    <w:p w14:paraId="1525DF6E" w14:textId="77777777" w:rsidR="001D0322" w:rsidRDefault="001D0322" w:rsidP="001D0322">
      <w:pPr>
        <w:jc w:val="both"/>
      </w:pPr>
      <w:r>
        <w:t>The review of recent literature found similar findings to that of Nabi et at. (2017) in that there is still a lack of information and context provided in published papers. Given that this information is necessary for educators to make informed decisions about what works (or not) or, to apply learning to their own practice, this can be seen as an important issue which needs to be addressed.</w:t>
      </w:r>
    </w:p>
    <w:p w14:paraId="38183E96" w14:textId="5996750C" w:rsidR="001D0322" w:rsidRDefault="001D0322" w:rsidP="00A158CE">
      <w:pPr>
        <w:jc w:val="both"/>
      </w:pPr>
    </w:p>
    <w:p w14:paraId="7C154039" w14:textId="25E921E3" w:rsidR="001D0322" w:rsidRDefault="001D0322" w:rsidP="00A158CE">
      <w:pPr>
        <w:jc w:val="both"/>
      </w:pPr>
      <w:r>
        <w:t>Furthermore, the majority of the published papers only explored impact at Levels 1 or 2 and tended to focus on entrepreneurial intent. Only two of the papers looked at Level 3 impact or above (one at Level 3 and one at Level 5). These two papers looked at students who attended entrepreneurial universities or who may have participated in multiple entrepreneurial education opportunities; it is therefore only possible to draw general conclusions about impact, rather than being able to drill down into the effects of specific educational practice. This also echoes findings by Nabi et al. (2017) and serves to further illustrate the work required to address this challenge.</w:t>
      </w:r>
    </w:p>
    <w:p w14:paraId="15E19697" w14:textId="77777777" w:rsidR="003A2B8C" w:rsidRDefault="003A2B8C" w:rsidP="00A158CE">
      <w:pPr>
        <w:jc w:val="both"/>
      </w:pPr>
      <w:r>
        <w:rPr>
          <w:noProof/>
        </w:rPr>
        <w:lastRenderedPageBreak/>
        <w:drawing>
          <wp:inline distT="0" distB="0" distL="0" distR="0" wp14:anchorId="7C22F243" wp14:editId="253731AD">
            <wp:extent cx="5724524" cy="2362200"/>
            <wp:effectExtent l="0" t="0" r="9525" b="0"/>
            <wp:docPr id="1438190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24524" cy="2362200"/>
                    </a:xfrm>
                    <a:prstGeom prst="rect">
                      <a:avLst/>
                    </a:prstGeom>
                  </pic:spPr>
                </pic:pic>
              </a:graphicData>
            </a:graphic>
          </wp:inline>
        </w:drawing>
      </w:r>
    </w:p>
    <w:p w14:paraId="0A5AE418" w14:textId="77777777" w:rsidR="003A2B8C" w:rsidRDefault="003A2B8C" w:rsidP="00A158CE">
      <w:pPr>
        <w:ind w:left="851" w:hanging="851"/>
        <w:jc w:val="both"/>
        <w:rPr>
          <w:color w:val="2E74B5" w:themeColor="accent1" w:themeShade="BF"/>
          <w:sz w:val="18"/>
        </w:rPr>
      </w:pPr>
    </w:p>
    <w:p w14:paraId="5BED19E6" w14:textId="77777777" w:rsidR="003A2B8C" w:rsidRPr="00D8599E" w:rsidRDefault="003A2B8C" w:rsidP="00A158CE">
      <w:pPr>
        <w:ind w:left="851" w:hanging="851"/>
        <w:jc w:val="both"/>
        <w:rPr>
          <w:color w:val="1F4E79" w:themeColor="accent1" w:themeShade="80"/>
          <w:sz w:val="18"/>
        </w:rPr>
      </w:pPr>
      <w:r w:rsidRPr="00D8599E">
        <w:rPr>
          <w:color w:val="1F4E79" w:themeColor="accent1" w:themeShade="80"/>
          <w:sz w:val="18"/>
        </w:rPr>
        <w:t xml:space="preserve">Figure 1: </w:t>
      </w:r>
      <w:r w:rsidRPr="00D8599E">
        <w:rPr>
          <w:color w:val="1F4E79" w:themeColor="accent1" w:themeShade="80"/>
          <w:sz w:val="18"/>
        </w:rPr>
        <w:tab/>
        <w:t xml:space="preserve">The integrated teaching model framework encompassing </w:t>
      </w:r>
      <w:r w:rsidR="00D639CA" w:rsidRPr="00D8599E">
        <w:rPr>
          <w:color w:val="1F4E79" w:themeColor="accent1" w:themeShade="80"/>
          <w:sz w:val="18"/>
        </w:rPr>
        <w:t>entrepreneurship</w:t>
      </w:r>
      <w:r w:rsidRPr="00D8599E">
        <w:rPr>
          <w:color w:val="1F4E79" w:themeColor="accent1" w:themeShade="80"/>
          <w:sz w:val="18"/>
        </w:rPr>
        <w:t xml:space="preserve"> impact and underpinning pedagogy presented in Nabi et al. (2017)</w:t>
      </w:r>
    </w:p>
    <w:p w14:paraId="0B2E820C" w14:textId="77777777" w:rsidR="00A34C9A" w:rsidRDefault="00A34C9A" w:rsidP="00A158CE">
      <w:pPr>
        <w:jc w:val="both"/>
      </w:pPr>
    </w:p>
    <w:p w14:paraId="123FACCD" w14:textId="77777777" w:rsidR="00D8599E" w:rsidRDefault="00696C5A" w:rsidP="00A158CE">
      <w:pPr>
        <w:pStyle w:val="Style3"/>
        <w:numPr>
          <w:ilvl w:val="1"/>
          <w:numId w:val="4"/>
        </w:numPr>
        <w:ind w:left="426" w:hanging="426"/>
        <w:jc w:val="both"/>
      </w:pPr>
      <w:bookmarkStart w:id="2" w:name="_Toc45203625"/>
      <w:r>
        <w:t>How this information has been used</w:t>
      </w:r>
      <w:bookmarkEnd w:id="2"/>
    </w:p>
    <w:p w14:paraId="2FD4EEEB" w14:textId="77777777" w:rsidR="00696C5A" w:rsidRDefault="00696C5A" w:rsidP="00A158CE">
      <w:pPr>
        <w:jc w:val="both"/>
      </w:pPr>
    </w:p>
    <w:p w14:paraId="16DE7AED" w14:textId="77777777" w:rsidR="00DB02AF" w:rsidRDefault="00696C5A" w:rsidP="00A158CE">
      <w:pPr>
        <w:jc w:val="both"/>
      </w:pPr>
      <w:r>
        <w:t>The results of the literature review have been used to develop questions to be used in the Delphi study</w:t>
      </w:r>
      <w:r w:rsidR="00366C04">
        <w:t>. This include questions on</w:t>
      </w:r>
      <w:r>
        <w:t xml:space="preserve"> the importance (or not) of measuring impact, what types of impact measurements are</w:t>
      </w:r>
      <w:r w:rsidR="00366C04">
        <w:t xml:space="preserve"> or could be useful</w:t>
      </w:r>
      <w:r>
        <w:t xml:space="preserve">, </w:t>
      </w:r>
      <w:r w:rsidR="00366C04">
        <w:t>how educators currently measure impact, and how are the results of impact evaluation currently used.</w:t>
      </w:r>
    </w:p>
    <w:p w14:paraId="5E8DBE34" w14:textId="3F5F52F9" w:rsidR="00D8599E" w:rsidRDefault="00366C04" w:rsidP="00A158CE">
      <w:pPr>
        <w:jc w:val="both"/>
      </w:pPr>
      <w:r>
        <w:t xml:space="preserve"> </w:t>
      </w:r>
    </w:p>
    <w:p w14:paraId="7EC6AE79" w14:textId="77777777" w:rsidR="00366C04" w:rsidRDefault="00366C04" w:rsidP="00A158CE">
      <w:pPr>
        <w:pStyle w:val="Style3"/>
        <w:numPr>
          <w:ilvl w:val="1"/>
          <w:numId w:val="4"/>
        </w:numPr>
        <w:ind w:left="426" w:hanging="426"/>
        <w:jc w:val="both"/>
      </w:pPr>
      <w:bookmarkStart w:id="3" w:name="_Toc45203626"/>
      <w:r>
        <w:t>Next steps</w:t>
      </w:r>
      <w:bookmarkEnd w:id="3"/>
      <w:r>
        <w:t xml:space="preserve"> </w:t>
      </w:r>
    </w:p>
    <w:p w14:paraId="27205324" w14:textId="77777777" w:rsidR="00366C04" w:rsidRDefault="00366C04" w:rsidP="00A158CE">
      <w:pPr>
        <w:jc w:val="both"/>
      </w:pPr>
    </w:p>
    <w:p w14:paraId="1E22573C" w14:textId="17152BDE" w:rsidR="00366C04" w:rsidRDefault="00366C04" w:rsidP="00A158CE">
      <w:pPr>
        <w:pStyle w:val="ListParagraph"/>
        <w:numPr>
          <w:ilvl w:val="0"/>
          <w:numId w:val="15"/>
        </w:numPr>
        <w:jc w:val="both"/>
      </w:pPr>
      <w:r>
        <w:t>The results of the literature review will be used for journal article submission</w:t>
      </w:r>
      <w:r w:rsidR="00D55DC0">
        <w:t>(</w:t>
      </w:r>
      <w:r>
        <w:t>s</w:t>
      </w:r>
      <w:r w:rsidR="00D55DC0">
        <w:t>)</w:t>
      </w:r>
      <w:r>
        <w:t xml:space="preserve"> that emerge from the study</w:t>
      </w:r>
      <w:r w:rsidR="0080108F">
        <w:t>; and</w:t>
      </w:r>
    </w:p>
    <w:p w14:paraId="26795365" w14:textId="3607DD75" w:rsidR="00366C04" w:rsidRDefault="00366C04" w:rsidP="00A158CE">
      <w:pPr>
        <w:pStyle w:val="ListParagraph"/>
        <w:numPr>
          <w:ilvl w:val="0"/>
          <w:numId w:val="15"/>
        </w:numPr>
        <w:jc w:val="both"/>
      </w:pPr>
      <w:r>
        <w:t>References for the 18 new articles found will be made available to EEUK if this is deemed useful to EEUK members</w:t>
      </w:r>
      <w:r w:rsidR="0080108F">
        <w:t>.</w:t>
      </w:r>
    </w:p>
    <w:p w14:paraId="66C79B3B" w14:textId="36D4E2A2" w:rsidR="002C5CD9" w:rsidRDefault="002C5CD9" w:rsidP="002C5CD9">
      <w:pPr>
        <w:jc w:val="both"/>
      </w:pPr>
    </w:p>
    <w:p w14:paraId="20072929" w14:textId="4DC2C83C" w:rsidR="002C5CD9" w:rsidRDefault="002C5CD9" w:rsidP="002C5CD9">
      <w:pPr>
        <w:jc w:val="both"/>
      </w:pPr>
    </w:p>
    <w:p w14:paraId="4488846E" w14:textId="444D599C" w:rsidR="002C5CD9" w:rsidRDefault="002C5CD9" w:rsidP="002C5CD9">
      <w:pPr>
        <w:jc w:val="both"/>
      </w:pPr>
    </w:p>
    <w:p w14:paraId="667393DB" w14:textId="7AFC1EC2" w:rsidR="002C5CD9" w:rsidRDefault="002C5CD9" w:rsidP="002C5CD9">
      <w:pPr>
        <w:jc w:val="both"/>
      </w:pPr>
    </w:p>
    <w:p w14:paraId="3534EF64" w14:textId="4AD08CFE" w:rsidR="002C5CD9" w:rsidRDefault="002C5CD9" w:rsidP="002C5CD9">
      <w:pPr>
        <w:jc w:val="both"/>
      </w:pPr>
    </w:p>
    <w:p w14:paraId="3DBDD8EC" w14:textId="373797BF" w:rsidR="002C5CD9" w:rsidRDefault="002C5CD9" w:rsidP="002C5CD9">
      <w:pPr>
        <w:jc w:val="both"/>
      </w:pPr>
    </w:p>
    <w:p w14:paraId="6AC55533" w14:textId="2F626510" w:rsidR="002C5CD9" w:rsidRDefault="002C5CD9" w:rsidP="002C5CD9">
      <w:pPr>
        <w:jc w:val="both"/>
      </w:pPr>
    </w:p>
    <w:p w14:paraId="6CCBE110" w14:textId="6486233D" w:rsidR="002C5CD9" w:rsidRDefault="002C5CD9" w:rsidP="002C5CD9">
      <w:pPr>
        <w:jc w:val="both"/>
      </w:pPr>
    </w:p>
    <w:p w14:paraId="0902C1E4" w14:textId="49D4FC6D" w:rsidR="002C5CD9" w:rsidRDefault="002C5CD9" w:rsidP="002C5CD9">
      <w:pPr>
        <w:jc w:val="both"/>
      </w:pPr>
    </w:p>
    <w:p w14:paraId="0AE4CF12" w14:textId="06E8A77B" w:rsidR="002C5CD9" w:rsidRDefault="002C5CD9" w:rsidP="002C5CD9">
      <w:pPr>
        <w:jc w:val="both"/>
      </w:pPr>
    </w:p>
    <w:p w14:paraId="266DC72B" w14:textId="5C7E79E9" w:rsidR="002C5CD9" w:rsidRDefault="002C5CD9" w:rsidP="002C5CD9">
      <w:pPr>
        <w:jc w:val="both"/>
      </w:pPr>
    </w:p>
    <w:p w14:paraId="7B17CFCF" w14:textId="5B8C352E" w:rsidR="002C5CD9" w:rsidRDefault="002C5CD9" w:rsidP="002C5CD9">
      <w:pPr>
        <w:jc w:val="both"/>
      </w:pPr>
    </w:p>
    <w:p w14:paraId="2CE0FEA7" w14:textId="4E961772" w:rsidR="002C5CD9" w:rsidRDefault="002C5CD9" w:rsidP="002C5CD9">
      <w:pPr>
        <w:jc w:val="both"/>
      </w:pPr>
    </w:p>
    <w:p w14:paraId="6F0E54E4" w14:textId="13DB9EED" w:rsidR="002C5CD9" w:rsidRDefault="002C5CD9" w:rsidP="002C5CD9">
      <w:pPr>
        <w:jc w:val="both"/>
      </w:pPr>
    </w:p>
    <w:p w14:paraId="6B6C9361" w14:textId="3F5EF3AA" w:rsidR="002C5CD9" w:rsidRDefault="002C5CD9" w:rsidP="002C5CD9">
      <w:pPr>
        <w:jc w:val="both"/>
      </w:pPr>
    </w:p>
    <w:p w14:paraId="38B68B50" w14:textId="4E0B4BA3" w:rsidR="002C5CD9" w:rsidRDefault="002C5CD9" w:rsidP="002C5CD9">
      <w:pPr>
        <w:jc w:val="both"/>
      </w:pPr>
    </w:p>
    <w:p w14:paraId="2261824F" w14:textId="11D0DF3A" w:rsidR="002C5CD9" w:rsidRDefault="002C5CD9" w:rsidP="002C5CD9">
      <w:pPr>
        <w:jc w:val="both"/>
      </w:pPr>
    </w:p>
    <w:p w14:paraId="15107556" w14:textId="33721FBD" w:rsidR="002C5CD9" w:rsidRDefault="002C5CD9" w:rsidP="002C5CD9">
      <w:pPr>
        <w:jc w:val="both"/>
      </w:pPr>
    </w:p>
    <w:p w14:paraId="3C3851AE" w14:textId="57A246A4" w:rsidR="002C5CD9" w:rsidRDefault="002C5CD9" w:rsidP="002C5CD9">
      <w:pPr>
        <w:jc w:val="both"/>
      </w:pPr>
    </w:p>
    <w:p w14:paraId="077CF7E5" w14:textId="603EB866" w:rsidR="002C5CD9" w:rsidRDefault="002C5CD9" w:rsidP="002C5CD9">
      <w:pPr>
        <w:jc w:val="both"/>
      </w:pPr>
    </w:p>
    <w:p w14:paraId="61350156" w14:textId="498129BE" w:rsidR="002C5CD9" w:rsidRDefault="002C5CD9" w:rsidP="002C5CD9">
      <w:pPr>
        <w:jc w:val="both"/>
      </w:pPr>
    </w:p>
    <w:p w14:paraId="7B2B2E45" w14:textId="429AFB83" w:rsidR="002C5CD9" w:rsidRDefault="002C5CD9" w:rsidP="002C5CD9">
      <w:pPr>
        <w:jc w:val="both"/>
      </w:pPr>
    </w:p>
    <w:p w14:paraId="4EAFA08A" w14:textId="42AEA0B4" w:rsidR="002C5CD9" w:rsidRDefault="002C5CD9" w:rsidP="002C5CD9">
      <w:pPr>
        <w:jc w:val="both"/>
      </w:pPr>
    </w:p>
    <w:p w14:paraId="4057F9AC" w14:textId="0A1224FD" w:rsidR="002C5CD9" w:rsidRDefault="002C5CD9" w:rsidP="002C5CD9">
      <w:pPr>
        <w:jc w:val="both"/>
      </w:pPr>
    </w:p>
    <w:p w14:paraId="7521A7CB" w14:textId="77777777" w:rsidR="002C5CD9" w:rsidRDefault="002C5CD9" w:rsidP="002C5CD9">
      <w:pPr>
        <w:jc w:val="both"/>
      </w:pPr>
    </w:p>
    <w:p w14:paraId="4ABC6973" w14:textId="77777777" w:rsidR="0075078D" w:rsidRDefault="0075078D" w:rsidP="00A158CE">
      <w:pPr>
        <w:jc w:val="both"/>
      </w:pPr>
    </w:p>
    <w:p w14:paraId="39262C3B" w14:textId="77777777" w:rsidR="00571F73" w:rsidRDefault="00366C04" w:rsidP="00A158CE">
      <w:pPr>
        <w:pStyle w:val="Style2"/>
        <w:jc w:val="both"/>
      </w:pPr>
      <w:bookmarkStart w:id="4" w:name="_Toc45203627"/>
      <w:r>
        <w:lastRenderedPageBreak/>
        <w:t>T</w:t>
      </w:r>
      <w:r w:rsidR="00D55DC0">
        <w:t xml:space="preserve">eaching </w:t>
      </w:r>
      <w:r>
        <w:t>E</w:t>
      </w:r>
      <w:r w:rsidR="00D55DC0">
        <w:t xml:space="preserve">xcellence </w:t>
      </w:r>
      <w:r>
        <w:t>F</w:t>
      </w:r>
      <w:r w:rsidR="00D55DC0">
        <w:t>ramework (TEF)</w:t>
      </w:r>
      <w:r>
        <w:t xml:space="preserve"> Review</w:t>
      </w:r>
      <w:bookmarkEnd w:id="4"/>
      <w:r w:rsidR="00571F73" w:rsidRPr="00571F73">
        <w:t xml:space="preserve"> </w:t>
      </w:r>
    </w:p>
    <w:p w14:paraId="087BA9E8" w14:textId="77777777" w:rsidR="00571F73" w:rsidRDefault="00571F73" w:rsidP="00A158CE">
      <w:pPr>
        <w:jc w:val="both"/>
      </w:pPr>
    </w:p>
    <w:p w14:paraId="10B5A9C2" w14:textId="6799BECD" w:rsidR="00DB02AF" w:rsidRDefault="00571F73" w:rsidP="00A158CE">
      <w:pPr>
        <w:jc w:val="both"/>
      </w:pPr>
      <w:r>
        <w:t>An analysis of TEF submission and panel reports is being conducted to explore if and how enterprise and entrepreneurship education is promoted as a positive aspect of an institution’s educational offer, and if active engagement with entrepreneurial education leads to a higher TEF rating. Although TEF is not currently directly linked to institutional funding (other than those having a TEF award of any level being able to charge slightly higher tuition fees), higher levels of TEF awards are used in marketing of programmes and courses and may have an impact on student recruitment</w:t>
      </w:r>
      <w:r w:rsidRPr="08928105">
        <w:rPr>
          <w:rStyle w:val="FootnoteReference"/>
        </w:rPr>
        <w:footnoteReference w:id="3"/>
      </w:r>
      <w:r>
        <w:t xml:space="preserve">. TEF may therefore indirectly affect income generation. </w:t>
      </w:r>
    </w:p>
    <w:p w14:paraId="243E34D8" w14:textId="77777777" w:rsidR="00DB02AF" w:rsidRDefault="00DB02AF" w:rsidP="00A158CE">
      <w:pPr>
        <w:jc w:val="both"/>
      </w:pPr>
    </w:p>
    <w:p w14:paraId="017E133F" w14:textId="77777777" w:rsidR="00366C04" w:rsidRDefault="00366C04" w:rsidP="00A158CE">
      <w:pPr>
        <w:pStyle w:val="Style3"/>
        <w:numPr>
          <w:ilvl w:val="1"/>
          <w:numId w:val="4"/>
        </w:numPr>
        <w:ind w:left="426" w:hanging="426"/>
        <w:jc w:val="both"/>
      </w:pPr>
      <w:bookmarkStart w:id="5" w:name="_Toc45203628"/>
      <w:r>
        <w:t>Action to date</w:t>
      </w:r>
      <w:bookmarkEnd w:id="5"/>
    </w:p>
    <w:p w14:paraId="5CB50405" w14:textId="77777777" w:rsidR="00366C04" w:rsidRDefault="00366C04" w:rsidP="00A158CE">
      <w:pPr>
        <w:jc w:val="both"/>
      </w:pPr>
    </w:p>
    <w:p w14:paraId="27680D22" w14:textId="20141C32" w:rsidR="0010774A" w:rsidRDefault="0010774A" w:rsidP="00A158CE">
      <w:pPr>
        <w:jc w:val="both"/>
      </w:pPr>
      <w:r>
        <w:t>The TEF submission documents and results narratives (made available by the Office of Students</w:t>
      </w:r>
      <w:r w:rsidR="003C0020">
        <w:rPr>
          <w:rStyle w:val="FootnoteReference"/>
        </w:rPr>
        <w:footnoteReference w:id="4"/>
      </w:r>
      <w:r>
        <w:t>) for 128 universities were reviewed for mention</w:t>
      </w:r>
      <w:r w:rsidR="006E762E">
        <w:t>s</w:t>
      </w:r>
      <w:r>
        <w:t xml:space="preserve"> of the words ‘enterprise’, ‘entrepreneurship’, and ‘entrepreneurial’. </w:t>
      </w:r>
      <w:r w:rsidR="00970897">
        <w:t>Initial results are presented in Tables 1 and 2</w:t>
      </w:r>
      <w:r w:rsidR="006E762E">
        <w:t xml:space="preserve"> (overleaf)</w:t>
      </w:r>
      <w:r w:rsidR="00970897">
        <w:t xml:space="preserve">. Table 1 shows that ‘enterprise’ was mentioned by a large majority </w:t>
      </w:r>
      <w:r w:rsidR="00D55DC0">
        <w:t xml:space="preserve">(83%) </w:t>
      </w:r>
      <w:r w:rsidR="00970897">
        <w:t>of universities in their submissions. The words ‘entrepreneurship’ and ‘entrepreneurial’ were used by around half of universities</w:t>
      </w:r>
      <w:r w:rsidR="00D55DC0">
        <w:t xml:space="preserve"> (50.0% and 45.0% respectively)</w:t>
      </w:r>
      <w:r w:rsidR="00970897">
        <w:t>. Review</w:t>
      </w:r>
      <w:r w:rsidR="00453EB6">
        <w:t>s</w:t>
      </w:r>
      <w:r w:rsidR="00970897">
        <w:t xml:space="preserve"> of the submissions suggests that use of these words range from very broad and general (e.g. mention of being an entrepreneurial university) through to detailed descriptions of in- or extra- curricular activities. </w:t>
      </w:r>
    </w:p>
    <w:p w14:paraId="697797DB" w14:textId="77777777" w:rsidR="006E762E" w:rsidRDefault="006E762E" w:rsidP="00A158CE">
      <w:pPr>
        <w:jc w:val="both"/>
      </w:pPr>
    </w:p>
    <w:p w14:paraId="3CFC184B" w14:textId="77777777" w:rsidR="002A6740" w:rsidRPr="002A6740" w:rsidRDefault="002A6740" w:rsidP="00A158CE">
      <w:pPr>
        <w:jc w:val="both"/>
        <w:rPr>
          <w:color w:val="1F4E79" w:themeColor="accent1" w:themeShade="80"/>
          <w:sz w:val="18"/>
        </w:rPr>
      </w:pPr>
      <w:r w:rsidRPr="002A6740">
        <w:rPr>
          <w:color w:val="1F4E79" w:themeColor="accent1" w:themeShade="80"/>
          <w:sz w:val="18"/>
        </w:rPr>
        <w:t xml:space="preserve">Table 1: </w:t>
      </w:r>
      <w:r>
        <w:rPr>
          <w:color w:val="1F4E79" w:themeColor="accent1" w:themeShade="80"/>
          <w:sz w:val="18"/>
        </w:rPr>
        <w:t>Percentage numbers of University submissions using enterprise-related words</w:t>
      </w:r>
    </w:p>
    <w:p w14:paraId="2E3CDCA6" w14:textId="77777777" w:rsidR="0010774A" w:rsidRPr="002A6740" w:rsidRDefault="0010774A" w:rsidP="00A158CE">
      <w:pPr>
        <w:jc w:val="both"/>
        <w:rPr>
          <w:color w:val="1F4E79" w:themeColor="accent1" w:themeShade="80"/>
          <w:sz w:val="18"/>
        </w:rPr>
      </w:pPr>
    </w:p>
    <w:tbl>
      <w:tblPr>
        <w:tblStyle w:val="TableGrid"/>
        <w:tblW w:w="8475" w:type="dxa"/>
        <w:jc w:val="center"/>
        <w:tblLook w:val="04A0" w:firstRow="1" w:lastRow="0" w:firstColumn="1" w:lastColumn="0" w:noHBand="0" w:noVBand="1"/>
      </w:tblPr>
      <w:tblGrid>
        <w:gridCol w:w="1080"/>
        <w:gridCol w:w="1290"/>
        <w:gridCol w:w="1322"/>
        <w:gridCol w:w="1798"/>
        <w:gridCol w:w="1890"/>
        <w:gridCol w:w="1095"/>
      </w:tblGrid>
      <w:tr w:rsidR="00D55DC0" w:rsidRPr="0075078D" w14:paraId="1C78363C" w14:textId="77777777" w:rsidTr="619EA3ED">
        <w:trPr>
          <w:jc w:val="center"/>
        </w:trPr>
        <w:tc>
          <w:tcPr>
            <w:tcW w:w="1080" w:type="dxa"/>
            <w:tcBorders>
              <w:top w:val="nil"/>
              <w:left w:val="nil"/>
              <w:bottom w:val="single" w:sz="12" w:space="0" w:color="auto"/>
              <w:right w:val="single" w:sz="12" w:space="0" w:color="auto"/>
            </w:tcBorders>
          </w:tcPr>
          <w:p w14:paraId="6FE99941" w14:textId="77777777" w:rsidR="00D55DC0" w:rsidRPr="0075078D" w:rsidRDefault="00D55DC0" w:rsidP="00A158CE">
            <w:pPr>
              <w:spacing w:before="60" w:after="60"/>
              <w:jc w:val="both"/>
              <w:rPr>
                <w:sz w:val="18"/>
                <w:szCs w:val="18"/>
              </w:rPr>
            </w:pPr>
          </w:p>
        </w:tc>
        <w:tc>
          <w:tcPr>
            <w:tcW w:w="1290" w:type="dxa"/>
            <w:tcBorders>
              <w:top w:val="single" w:sz="12" w:space="0" w:color="auto"/>
              <w:left w:val="single" w:sz="12" w:space="0" w:color="auto"/>
              <w:bottom w:val="single" w:sz="12" w:space="0" w:color="auto"/>
              <w:right w:val="single" w:sz="12" w:space="0" w:color="auto"/>
            </w:tcBorders>
          </w:tcPr>
          <w:p w14:paraId="6FA9415B" w14:textId="77777777" w:rsidR="00D55DC0" w:rsidRPr="0075078D" w:rsidRDefault="00D55DC0" w:rsidP="619EA3ED">
            <w:pPr>
              <w:spacing w:before="60" w:after="60"/>
              <w:jc w:val="center"/>
              <w:rPr>
                <w:b/>
                <w:bCs/>
                <w:sz w:val="18"/>
                <w:szCs w:val="18"/>
              </w:rPr>
            </w:pPr>
            <w:r w:rsidRPr="619EA3ED">
              <w:rPr>
                <w:b/>
                <w:bCs/>
                <w:sz w:val="18"/>
                <w:szCs w:val="18"/>
              </w:rPr>
              <w:t>Number / Percentage</w:t>
            </w:r>
          </w:p>
        </w:tc>
        <w:tc>
          <w:tcPr>
            <w:tcW w:w="1322" w:type="dxa"/>
            <w:tcBorders>
              <w:top w:val="single" w:sz="12" w:space="0" w:color="auto"/>
              <w:left w:val="single" w:sz="12" w:space="0" w:color="auto"/>
              <w:bottom w:val="single" w:sz="12" w:space="0" w:color="auto"/>
            </w:tcBorders>
          </w:tcPr>
          <w:p w14:paraId="4B3D2BE1" w14:textId="77777777" w:rsidR="00D55DC0" w:rsidRPr="0075078D" w:rsidRDefault="00D55DC0" w:rsidP="619EA3ED">
            <w:pPr>
              <w:spacing w:before="60" w:after="60"/>
              <w:jc w:val="center"/>
              <w:rPr>
                <w:b/>
                <w:bCs/>
                <w:sz w:val="18"/>
                <w:szCs w:val="18"/>
              </w:rPr>
            </w:pPr>
            <w:r w:rsidRPr="619EA3ED">
              <w:rPr>
                <w:b/>
                <w:bCs/>
                <w:sz w:val="18"/>
                <w:szCs w:val="18"/>
              </w:rPr>
              <w:t>Enterprise</w:t>
            </w:r>
          </w:p>
        </w:tc>
        <w:tc>
          <w:tcPr>
            <w:tcW w:w="1798" w:type="dxa"/>
            <w:tcBorders>
              <w:top w:val="single" w:sz="12" w:space="0" w:color="auto"/>
              <w:bottom w:val="single" w:sz="12" w:space="0" w:color="auto"/>
            </w:tcBorders>
          </w:tcPr>
          <w:p w14:paraId="04C93F44" w14:textId="77777777" w:rsidR="00D55DC0" w:rsidRPr="0075078D" w:rsidRDefault="00D55DC0" w:rsidP="619EA3ED">
            <w:pPr>
              <w:spacing w:before="60" w:after="60"/>
              <w:jc w:val="center"/>
              <w:rPr>
                <w:b/>
                <w:bCs/>
                <w:sz w:val="18"/>
                <w:szCs w:val="18"/>
              </w:rPr>
            </w:pPr>
            <w:r w:rsidRPr="619EA3ED">
              <w:rPr>
                <w:b/>
                <w:bCs/>
                <w:sz w:val="18"/>
                <w:szCs w:val="18"/>
              </w:rPr>
              <w:t>Entrepreneurship</w:t>
            </w:r>
          </w:p>
        </w:tc>
        <w:tc>
          <w:tcPr>
            <w:tcW w:w="1890" w:type="dxa"/>
            <w:tcBorders>
              <w:top w:val="single" w:sz="12" w:space="0" w:color="auto"/>
              <w:bottom w:val="single" w:sz="12" w:space="0" w:color="auto"/>
              <w:right w:val="single" w:sz="12" w:space="0" w:color="auto"/>
            </w:tcBorders>
          </w:tcPr>
          <w:p w14:paraId="378CD617" w14:textId="77777777" w:rsidR="00D55DC0" w:rsidRPr="0075078D" w:rsidRDefault="00D55DC0" w:rsidP="619EA3ED">
            <w:pPr>
              <w:spacing w:before="60" w:after="60"/>
              <w:jc w:val="center"/>
              <w:rPr>
                <w:b/>
                <w:bCs/>
                <w:sz w:val="18"/>
                <w:szCs w:val="18"/>
              </w:rPr>
            </w:pPr>
            <w:r w:rsidRPr="619EA3ED">
              <w:rPr>
                <w:b/>
                <w:bCs/>
                <w:sz w:val="18"/>
                <w:szCs w:val="18"/>
              </w:rPr>
              <w:t>Entrepreneurial</w:t>
            </w:r>
          </w:p>
        </w:tc>
        <w:tc>
          <w:tcPr>
            <w:tcW w:w="1095" w:type="dxa"/>
            <w:tcBorders>
              <w:top w:val="single" w:sz="12" w:space="0" w:color="auto"/>
              <w:left w:val="single" w:sz="12" w:space="0" w:color="auto"/>
              <w:bottom w:val="single" w:sz="12" w:space="0" w:color="auto"/>
              <w:right w:val="single" w:sz="12" w:space="0" w:color="auto"/>
            </w:tcBorders>
          </w:tcPr>
          <w:p w14:paraId="46C9DBCF" w14:textId="07D449BA" w:rsidR="00D55DC0" w:rsidRPr="0075078D" w:rsidRDefault="00D55DC0" w:rsidP="619EA3ED">
            <w:pPr>
              <w:spacing w:before="60" w:after="60"/>
              <w:jc w:val="center"/>
              <w:rPr>
                <w:b/>
                <w:bCs/>
                <w:sz w:val="18"/>
                <w:szCs w:val="18"/>
              </w:rPr>
            </w:pPr>
            <w:r w:rsidRPr="619EA3ED">
              <w:rPr>
                <w:b/>
                <w:bCs/>
                <w:sz w:val="18"/>
                <w:szCs w:val="18"/>
              </w:rPr>
              <w:t>Total</w:t>
            </w:r>
          </w:p>
          <w:p w14:paraId="30FE07A6" w14:textId="26DAC8F7" w:rsidR="00D55DC0" w:rsidRPr="0075078D" w:rsidRDefault="24E1BEA4" w:rsidP="619EA3ED">
            <w:pPr>
              <w:spacing w:before="60" w:after="60"/>
              <w:jc w:val="center"/>
              <w:rPr>
                <w:b/>
                <w:bCs/>
                <w:sz w:val="18"/>
                <w:szCs w:val="18"/>
              </w:rPr>
            </w:pPr>
            <w:r w:rsidRPr="619EA3ED">
              <w:rPr>
                <w:b/>
                <w:bCs/>
                <w:sz w:val="18"/>
                <w:szCs w:val="18"/>
              </w:rPr>
              <w:t>Award</w:t>
            </w:r>
            <w:r w:rsidR="160893B7" w:rsidRPr="619EA3ED">
              <w:rPr>
                <w:b/>
                <w:bCs/>
                <w:sz w:val="18"/>
                <w:szCs w:val="18"/>
              </w:rPr>
              <w:t>ed</w:t>
            </w:r>
          </w:p>
        </w:tc>
      </w:tr>
      <w:tr w:rsidR="00D55DC0" w:rsidRPr="0075078D" w14:paraId="7374D8BE" w14:textId="77777777" w:rsidTr="619EA3ED">
        <w:trPr>
          <w:trHeight w:val="300"/>
          <w:jc w:val="center"/>
        </w:trPr>
        <w:tc>
          <w:tcPr>
            <w:tcW w:w="1080" w:type="dxa"/>
            <w:vMerge w:val="restart"/>
            <w:tcBorders>
              <w:top w:val="single" w:sz="12" w:space="0" w:color="auto"/>
              <w:left w:val="single" w:sz="12" w:space="0" w:color="auto"/>
              <w:right w:val="single" w:sz="12" w:space="0" w:color="auto"/>
            </w:tcBorders>
          </w:tcPr>
          <w:p w14:paraId="4AC567D9" w14:textId="77777777" w:rsidR="00D55DC0" w:rsidRPr="0075078D" w:rsidRDefault="00D55DC0" w:rsidP="00A158CE">
            <w:pPr>
              <w:spacing w:before="60" w:after="60"/>
              <w:jc w:val="both"/>
              <w:rPr>
                <w:b/>
                <w:sz w:val="18"/>
                <w:szCs w:val="18"/>
              </w:rPr>
            </w:pPr>
            <w:r w:rsidRPr="0075078D">
              <w:rPr>
                <w:b/>
                <w:sz w:val="18"/>
                <w:szCs w:val="18"/>
              </w:rPr>
              <w:t>Gold</w:t>
            </w:r>
          </w:p>
        </w:tc>
        <w:tc>
          <w:tcPr>
            <w:tcW w:w="1290" w:type="dxa"/>
            <w:tcBorders>
              <w:top w:val="single" w:sz="12" w:space="0" w:color="auto"/>
              <w:left w:val="single" w:sz="12" w:space="0" w:color="auto"/>
              <w:right w:val="single" w:sz="12" w:space="0" w:color="auto"/>
            </w:tcBorders>
          </w:tcPr>
          <w:p w14:paraId="122DD7B0" w14:textId="77777777" w:rsidR="00D55DC0" w:rsidRPr="00D55DC0" w:rsidRDefault="00D55DC0" w:rsidP="619EA3ED">
            <w:pPr>
              <w:spacing w:before="60"/>
              <w:jc w:val="center"/>
              <w:rPr>
                <w:i/>
                <w:iCs/>
                <w:sz w:val="18"/>
                <w:szCs w:val="18"/>
              </w:rPr>
            </w:pPr>
            <w:r w:rsidRPr="619EA3ED">
              <w:rPr>
                <w:i/>
                <w:iCs/>
                <w:sz w:val="18"/>
                <w:szCs w:val="18"/>
              </w:rPr>
              <w:t>N</w:t>
            </w:r>
          </w:p>
        </w:tc>
        <w:tc>
          <w:tcPr>
            <w:tcW w:w="1322" w:type="dxa"/>
            <w:tcBorders>
              <w:top w:val="single" w:sz="12" w:space="0" w:color="auto"/>
              <w:left w:val="single" w:sz="12" w:space="0" w:color="auto"/>
            </w:tcBorders>
          </w:tcPr>
          <w:p w14:paraId="03B824FA" w14:textId="77777777" w:rsidR="00D55DC0" w:rsidRPr="0075078D" w:rsidRDefault="00D55DC0" w:rsidP="619EA3ED">
            <w:pPr>
              <w:spacing w:before="60"/>
              <w:jc w:val="center"/>
              <w:rPr>
                <w:sz w:val="18"/>
                <w:szCs w:val="18"/>
              </w:rPr>
            </w:pPr>
            <w:r w:rsidRPr="619EA3ED">
              <w:rPr>
                <w:sz w:val="18"/>
                <w:szCs w:val="18"/>
              </w:rPr>
              <w:t>28</w:t>
            </w:r>
          </w:p>
        </w:tc>
        <w:tc>
          <w:tcPr>
            <w:tcW w:w="1798" w:type="dxa"/>
            <w:tcBorders>
              <w:top w:val="single" w:sz="12" w:space="0" w:color="auto"/>
            </w:tcBorders>
          </w:tcPr>
          <w:p w14:paraId="4A6F3A79" w14:textId="77777777" w:rsidR="00D55DC0" w:rsidRPr="0075078D" w:rsidRDefault="00D55DC0" w:rsidP="619EA3ED">
            <w:pPr>
              <w:spacing w:before="60"/>
              <w:jc w:val="center"/>
              <w:rPr>
                <w:sz w:val="18"/>
                <w:szCs w:val="18"/>
              </w:rPr>
            </w:pPr>
            <w:r w:rsidRPr="619EA3ED">
              <w:rPr>
                <w:sz w:val="18"/>
                <w:szCs w:val="18"/>
              </w:rPr>
              <w:t>22</w:t>
            </w:r>
          </w:p>
        </w:tc>
        <w:tc>
          <w:tcPr>
            <w:tcW w:w="1890" w:type="dxa"/>
            <w:tcBorders>
              <w:top w:val="single" w:sz="12" w:space="0" w:color="auto"/>
              <w:right w:val="single" w:sz="12" w:space="0" w:color="auto"/>
            </w:tcBorders>
          </w:tcPr>
          <w:p w14:paraId="282321E1" w14:textId="77777777" w:rsidR="00D55DC0" w:rsidRPr="0075078D" w:rsidRDefault="00D55DC0" w:rsidP="619EA3ED">
            <w:pPr>
              <w:spacing w:before="60"/>
              <w:jc w:val="center"/>
              <w:rPr>
                <w:sz w:val="18"/>
                <w:szCs w:val="18"/>
              </w:rPr>
            </w:pPr>
            <w:r w:rsidRPr="619EA3ED">
              <w:rPr>
                <w:sz w:val="18"/>
                <w:szCs w:val="18"/>
              </w:rPr>
              <w:t>22</w:t>
            </w:r>
          </w:p>
        </w:tc>
        <w:tc>
          <w:tcPr>
            <w:tcW w:w="1095" w:type="dxa"/>
            <w:tcBorders>
              <w:top w:val="single" w:sz="12" w:space="0" w:color="auto"/>
              <w:left w:val="single" w:sz="12" w:space="0" w:color="auto"/>
              <w:right w:val="single" w:sz="12" w:space="0" w:color="auto"/>
            </w:tcBorders>
          </w:tcPr>
          <w:p w14:paraId="66D77A1F" w14:textId="77777777" w:rsidR="00D55DC0" w:rsidRPr="00D55DC0" w:rsidRDefault="00D55DC0" w:rsidP="619EA3ED">
            <w:pPr>
              <w:spacing w:before="60"/>
              <w:jc w:val="center"/>
              <w:rPr>
                <w:sz w:val="18"/>
                <w:szCs w:val="18"/>
              </w:rPr>
            </w:pPr>
            <w:r w:rsidRPr="619EA3ED">
              <w:rPr>
                <w:sz w:val="18"/>
                <w:szCs w:val="18"/>
              </w:rPr>
              <w:t>47</w:t>
            </w:r>
          </w:p>
        </w:tc>
      </w:tr>
      <w:tr w:rsidR="00D55DC0" w:rsidRPr="0075078D" w14:paraId="7E4B40B1" w14:textId="77777777" w:rsidTr="619EA3ED">
        <w:trPr>
          <w:trHeight w:val="300"/>
          <w:jc w:val="center"/>
        </w:trPr>
        <w:tc>
          <w:tcPr>
            <w:tcW w:w="1080" w:type="dxa"/>
            <w:vMerge/>
          </w:tcPr>
          <w:p w14:paraId="64ABD6ED" w14:textId="77777777" w:rsidR="00D55DC0" w:rsidRPr="0075078D" w:rsidRDefault="00D55DC0" w:rsidP="00A158CE">
            <w:pPr>
              <w:spacing w:before="60" w:after="60"/>
              <w:jc w:val="both"/>
              <w:rPr>
                <w:b/>
                <w:sz w:val="18"/>
                <w:szCs w:val="18"/>
              </w:rPr>
            </w:pPr>
          </w:p>
        </w:tc>
        <w:tc>
          <w:tcPr>
            <w:tcW w:w="1290" w:type="dxa"/>
            <w:tcBorders>
              <w:left w:val="single" w:sz="12" w:space="0" w:color="auto"/>
              <w:right w:val="single" w:sz="12" w:space="0" w:color="auto"/>
            </w:tcBorders>
          </w:tcPr>
          <w:p w14:paraId="2F611D23" w14:textId="77777777" w:rsidR="00D55DC0" w:rsidRPr="00D55DC0" w:rsidRDefault="00D55DC0" w:rsidP="619EA3ED">
            <w:pPr>
              <w:spacing w:after="60"/>
              <w:jc w:val="center"/>
              <w:rPr>
                <w:i/>
                <w:iCs/>
                <w:sz w:val="18"/>
                <w:szCs w:val="18"/>
              </w:rPr>
            </w:pPr>
            <w:r w:rsidRPr="619EA3ED">
              <w:rPr>
                <w:i/>
                <w:iCs/>
                <w:sz w:val="18"/>
                <w:szCs w:val="18"/>
              </w:rPr>
              <w:t>%</w:t>
            </w:r>
          </w:p>
        </w:tc>
        <w:tc>
          <w:tcPr>
            <w:tcW w:w="1322" w:type="dxa"/>
            <w:tcBorders>
              <w:left w:val="single" w:sz="12" w:space="0" w:color="auto"/>
            </w:tcBorders>
          </w:tcPr>
          <w:p w14:paraId="3BA795CA" w14:textId="77777777" w:rsidR="00D55DC0" w:rsidRDefault="00D55DC0" w:rsidP="619EA3ED">
            <w:pPr>
              <w:spacing w:after="60"/>
              <w:jc w:val="center"/>
              <w:rPr>
                <w:sz w:val="18"/>
                <w:szCs w:val="18"/>
              </w:rPr>
            </w:pPr>
            <w:r w:rsidRPr="619EA3ED">
              <w:rPr>
                <w:sz w:val="18"/>
                <w:szCs w:val="18"/>
              </w:rPr>
              <w:t>80.9</w:t>
            </w:r>
          </w:p>
        </w:tc>
        <w:tc>
          <w:tcPr>
            <w:tcW w:w="1798" w:type="dxa"/>
          </w:tcPr>
          <w:p w14:paraId="272A4A90" w14:textId="77777777" w:rsidR="00D55DC0" w:rsidRPr="0075078D" w:rsidRDefault="00D55DC0" w:rsidP="619EA3ED">
            <w:pPr>
              <w:spacing w:after="60"/>
              <w:jc w:val="center"/>
              <w:rPr>
                <w:sz w:val="18"/>
                <w:szCs w:val="18"/>
              </w:rPr>
            </w:pPr>
            <w:r w:rsidRPr="619EA3ED">
              <w:rPr>
                <w:sz w:val="18"/>
                <w:szCs w:val="18"/>
              </w:rPr>
              <w:t>46.8</w:t>
            </w:r>
          </w:p>
        </w:tc>
        <w:tc>
          <w:tcPr>
            <w:tcW w:w="1890" w:type="dxa"/>
            <w:tcBorders>
              <w:right w:val="single" w:sz="12" w:space="0" w:color="auto"/>
            </w:tcBorders>
          </w:tcPr>
          <w:p w14:paraId="1C7B4A89" w14:textId="77777777" w:rsidR="00D55DC0" w:rsidRPr="0075078D" w:rsidRDefault="00D55DC0" w:rsidP="619EA3ED">
            <w:pPr>
              <w:spacing w:after="60"/>
              <w:jc w:val="center"/>
              <w:rPr>
                <w:sz w:val="18"/>
                <w:szCs w:val="18"/>
              </w:rPr>
            </w:pPr>
            <w:r w:rsidRPr="619EA3ED">
              <w:rPr>
                <w:sz w:val="18"/>
                <w:szCs w:val="18"/>
              </w:rPr>
              <w:t>46.8</w:t>
            </w:r>
          </w:p>
        </w:tc>
        <w:tc>
          <w:tcPr>
            <w:tcW w:w="1095" w:type="dxa"/>
            <w:tcBorders>
              <w:left w:val="single" w:sz="12" w:space="0" w:color="auto"/>
              <w:right w:val="single" w:sz="12" w:space="0" w:color="auto"/>
            </w:tcBorders>
          </w:tcPr>
          <w:p w14:paraId="40E7238A" w14:textId="77777777" w:rsidR="00D55DC0" w:rsidRPr="00D55DC0" w:rsidRDefault="00D55DC0" w:rsidP="619EA3ED">
            <w:pPr>
              <w:spacing w:after="60"/>
              <w:jc w:val="center"/>
              <w:rPr>
                <w:sz w:val="18"/>
                <w:szCs w:val="18"/>
              </w:rPr>
            </w:pPr>
            <w:r w:rsidRPr="619EA3ED">
              <w:rPr>
                <w:sz w:val="18"/>
                <w:szCs w:val="18"/>
              </w:rPr>
              <w:t>36.7</w:t>
            </w:r>
          </w:p>
        </w:tc>
      </w:tr>
      <w:tr w:rsidR="00D55DC0" w:rsidRPr="0075078D" w14:paraId="412064DC" w14:textId="77777777" w:rsidTr="619EA3ED">
        <w:trPr>
          <w:trHeight w:val="165"/>
          <w:jc w:val="center"/>
        </w:trPr>
        <w:tc>
          <w:tcPr>
            <w:tcW w:w="1080" w:type="dxa"/>
            <w:vMerge w:val="restart"/>
            <w:tcBorders>
              <w:left w:val="single" w:sz="12" w:space="0" w:color="auto"/>
              <w:right w:val="single" w:sz="12" w:space="0" w:color="auto"/>
            </w:tcBorders>
          </w:tcPr>
          <w:p w14:paraId="27FDC528" w14:textId="77777777" w:rsidR="00D55DC0" w:rsidRPr="0075078D" w:rsidRDefault="00D55DC0" w:rsidP="00A158CE">
            <w:pPr>
              <w:spacing w:before="60" w:after="60"/>
              <w:jc w:val="both"/>
              <w:rPr>
                <w:b/>
                <w:sz w:val="18"/>
                <w:szCs w:val="18"/>
              </w:rPr>
            </w:pPr>
            <w:r w:rsidRPr="0075078D">
              <w:rPr>
                <w:b/>
                <w:sz w:val="18"/>
                <w:szCs w:val="18"/>
              </w:rPr>
              <w:t>Silver</w:t>
            </w:r>
          </w:p>
        </w:tc>
        <w:tc>
          <w:tcPr>
            <w:tcW w:w="1290" w:type="dxa"/>
            <w:tcBorders>
              <w:left w:val="single" w:sz="12" w:space="0" w:color="auto"/>
              <w:right w:val="single" w:sz="12" w:space="0" w:color="auto"/>
            </w:tcBorders>
          </w:tcPr>
          <w:p w14:paraId="4D8156F0" w14:textId="77777777" w:rsidR="00D55DC0" w:rsidRPr="00D55DC0" w:rsidRDefault="00D55DC0" w:rsidP="619EA3ED">
            <w:pPr>
              <w:spacing w:before="60"/>
              <w:jc w:val="center"/>
              <w:rPr>
                <w:i/>
                <w:iCs/>
                <w:sz w:val="18"/>
                <w:szCs w:val="18"/>
              </w:rPr>
            </w:pPr>
            <w:r w:rsidRPr="619EA3ED">
              <w:rPr>
                <w:i/>
                <w:iCs/>
                <w:sz w:val="18"/>
                <w:szCs w:val="18"/>
              </w:rPr>
              <w:t>N</w:t>
            </w:r>
          </w:p>
        </w:tc>
        <w:tc>
          <w:tcPr>
            <w:tcW w:w="1322" w:type="dxa"/>
            <w:tcBorders>
              <w:left w:val="single" w:sz="12" w:space="0" w:color="auto"/>
            </w:tcBorders>
          </w:tcPr>
          <w:p w14:paraId="75F112FF" w14:textId="77777777" w:rsidR="00D55DC0" w:rsidRPr="0075078D" w:rsidRDefault="00D55DC0" w:rsidP="619EA3ED">
            <w:pPr>
              <w:spacing w:before="60"/>
              <w:jc w:val="center"/>
              <w:rPr>
                <w:sz w:val="18"/>
                <w:szCs w:val="18"/>
              </w:rPr>
            </w:pPr>
            <w:r w:rsidRPr="619EA3ED">
              <w:rPr>
                <w:sz w:val="18"/>
                <w:szCs w:val="18"/>
              </w:rPr>
              <w:t>57</w:t>
            </w:r>
          </w:p>
        </w:tc>
        <w:tc>
          <w:tcPr>
            <w:tcW w:w="1798" w:type="dxa"/>
          </w:tcPr>
          <w:p w14:paraId="3C72AA5C" w14:textId="77777777" w:rsidR="00D55DC0" w:rsidRPr="0075078D" w:rsidRDefault="00D55DC0" w:rsidP="619EA3ED">
            <w:pPr>
              <w:spacing w:before="60"/>
              <w:jc w:val="center"/>
              <w:rPr>
                <w:sz w:val="18"/>
                <w:szCs w:val="18"/>
              </w:rPr>
            </w:pPr>
            <w:r w:rsidRPr="619EA3ED">
              <w:rPr>
                <w:sz w:val="18"/>
                <w:szCs w:val="18"/>
              </w:rPr>
              <w:t>34</w:t>
            </w:r>
          </w:p>
        </w:tc>
        <w:tc>
          <w:tcPr>
            <w:tcW w:w="1890" w:type="dxa"/>
            <w:tcBorders>
              <w:right w:val="single" w:sz="12" w:space="0" w:color="auto"/>
            </w:tcBorders>
          </w:tcPr>
          <w:p w14:paraId="15FE70A7" w14:textId="77777777" w:rsidR="00D55DC0" w:rsidRPr="0075078D" w:rsidRDefault="00D55DC0" w:rsidP="619EA3ED">
            <w:pPr>
              <w:spacing w:before="60"/>
              <w:jc w:val="center"/>
              <w:rPr>
                <w:sz w:val="18"/>
                <w:szCs w:val="18"/>
              </w:rPr>
            </w:pPr>
            <w:r w:rsidRPr="619EA3ED">
              <w:rPr>
                <w:sz w:val="18"/>
                <w:szCs w:val="18"/>
              </w:rPr>
              <w:t>1</w:t>
            </w:r>
          </w:p>
        </w:tc>
        <w:tc>
          <w:tcPr>
            <w:tcW w:w="1095" w:type="dxa"/>
            <w:tcBorders>
              <w:left w:val="single" w:sz="12" w:space="0" w:color="auto"/>
              <w:right w:val="single" w:sz="12" w:space="0" w:color="auto"/>
            </w:tcBorders>
          </w:tcPr>
          <w:p w14:paraId="5D34795A" w14:textId="77777777" w:rsidR="00D55DC0" w:rsidRPr="00D55DC0" w:rsidRDefault="00D55DC0" w:rsidP="619EA3ED">
            <w:pPr>
              <w:spacing w:before="60"/>
              <w:jc w:val="center"/>
              <w:rPr>
                <w:sz w:val="18"/>
                <w:szCs w:val="18"/>
              </w:rPr>
            </w:pPr>
            <w:r w:rsidRPr="619EA3ED">
              <w:rPr>
                <w:sz w:val="18"/>
                <w:szCs w:val="18"/>
              </w:rPr>
              <w:t>67</w:t>
            </w:r>
          </w:p>
        </w:tc>
      </w:tr>
      <w:tr w:rsidR="00D55DC0" w:rsidRPr="0075078D" w14:paraId="7FB0970E" w14:textId="77777777" w:rsidTr="619EA3ED">
        <w:trPr>
          <w:trHeight w:val="165"/>
          <w:jc w:val="center"/>
        </w:trPr>
        <w:tc>
          <w:tcPr>
            <w:tcW w:w="1080" w:type="dxa"/>
            <w:vMerge/>
          </w:tcPr>
          <w:p w14:paraId="12CA2CBB" w14:textId="77777777" w:rsidR="00D55DC0" w:rsidRPr="0075078D" w:rsidRDefault="00D55DC0" w:rsidP="00A158CE">
            <w:pPr>
              <w:spacing w:before="60" w:after="60"/>
              <w:jc w:val="both"/>
              <w:rPr>
                <w:b/>
                <w:sz w:val="18"/>
                <w:szCs w:val="18"/>
              </w:rPr>
            </w:pPr>
          </w:p>
        </w:tc>
        <w:tc>
          <w:tcPr>
            <w:tcW w:w="1290" w:type="dxa"/>
            <w:tcBorders>
              <w:left w:val="single" w:sz="12" w:space="0" w:color="auto"/>
              <w:right w:val="single" w:sz="12" w:space="0" w:color="auto"/>
            </w:tcBorders>
          </w:tcPr>
          <w:p w14:paraId="7122CF7B" w14:textId="77777777" w:rsidR="00D55DC0" w:rsidRPr="00D55DC0" w:rsidRDefault="00D55DC0" w:rsidP="619EA3ED">
            <w:pPr>
              <w:spacing w:after="60"/>
              <w:jc w:val="center"/>
              <w:rPr>
                <w:i/>
                <w:iCs/>
                <w:sz w:val="18"/>
                <w:szCs w:val="18"/>
              </w:rPr>
            </w:pPr>
            <w:r w:rsidRPr="619EA3ED">
              <w:rPr>
                <w:i/>
                <w:iCs/>
                <w:sz w:val="18"/>
                <w:szCs w:val="18"/>
              </w:rPr>
              <w:t>%</w:t>
            </w:r>
          </w:p>
        </w:tc>
        <w:tc>
          <w:tcPr>
            <w:tcW w:w="1322" w:type="dxa"/>
            <w:tcBorders>
              <w:left w:val="single" w:sz="12" w:space="0" w:color="auto"/>
            </w:tcBorders>
          </w:tcPr>
          <w:p w14:paraId="5F7EA1CF" w14:textId="77777777" w:rsidR="00D55DC0" w:rsidRPr="00D55DC0" w:rsidRDefault="00D55DC0" w:rsidP="619EA3ED">
            <w:pPr>
              <w:spacing w:after="60"/>
              <w:jc w:val="center"/>
              <w:rPr>
                <w:sz w:val="18"/>
                <w:szCs w:val="18"/>
              </w:rPr>
            </w:pPr>
            <w:r w:rsidRPr="619EA3ED">
              <w:rPr>
                <w:sz w:val="18"/>
                <w:szCs w:val="18"/>
              </w:rPr>
              <w:t>85.1</w:t>
            </w:r>
          </w:p>
        </w:tc>
        <w:tc>
          <w:tcPr>
            <w:tcW w:w="1798" w:type="dxa"/>
          </w:tcPr>
          <w:p w14:paraId="1812736B" w14:textId="77777777" w:rsidR="00D55DC0" w:rsidRPr="00D55DC0" w:rsidRDefault="00D55DC0" w:rsidP="619EA3ED">
            <w:pPr>
              <w:spacing w:after="60"/>
              <w:jc w:val="center"/>
              <w:rPr>
                <w:sz w:val="18"/>
                <w:szCs w:val="18"/>
              </w:rPr>
            </w:pPr>
            <w:r w:rsidRPr="619EA3ED">
              <w:rPr>
                <w:sz w:val="18"/>
                <w:szCs w:val="18"/>
              </w:rPr>
              <w:t>50.7</w:t>
            </w:r>
          </w:p>
        </w:tc>
        <w:tc>
          <w:tcPr>
            <w:tcW w:w="1890" w:type="dxa"/>
            <w:tcBorders>
              <w:right w:val="single" w:sz="12" w:space="0" w:color="auto"/>
            </w:tcBorders>
          </w:tcPr>
          <w:p w14:paraId="16E294F5" w14:textId="77777777" w:rsidR="00D55DC0" w:rsidRPr="00D55DC0" w:rsidRDefault="00D55DC0" w:rsidP="619EA3ED">
            <w:pPr>
              <w:spacing w:after="60"/>
              <w:jc w:val="center"/>
              <w:rPr>
                <w:sz w:val="18"/>
                <w:szCs w:val="18"/>
              </w:rPr>
            </w:pPr>
            <w:r w:rsidRPr="619EA3ED">
              <w:rPr>
                <w:sz w:val="18"/>
                <w:szCs w:val="18"/>
              </w:rPr>
              <w:t>41.8</w:t>
            </w:r>
          </w:p>
        </w:tc>
        <w:tc>
          <w:tcPr>
            <w:tcW w:w="1095" w:type="dxa"/>
            <w:tcBorders>
              <w:left w:val="single" w:sz="12" w:space="0" w:color="auto"/>
              <w:right w:val="single" w:sz="12" w:space="0" w:color="auto"/>
            </w:tcBorders>
          </w:tcPr>
          <w:p w14:paraId="0D79409E" w14:textId="77777777" w:rsidR="00D55DC0" w:rsidRPr="00D55DC0" w:rsidRDefault="00D55DC0" w:rsidP="619EA3ED">
            <w:pPr>
              <w:spacing w:after="60"/>
              <w:jc w:val="center"/>
              <w:rPr>
                <w:sz w:val="18"/>
                <w:szCs w:val="18"/>
              </w:rPr>
            </w:pPr>
            <w:r w:rsidRPr="619EA3ED">
              <w:rPr>
                <w:sz w:val="18"/>
                <w:szCs w:val="18"/>
              </w:rPr>
              <w:t>52.4</w:t>
            </w:r>
          </w:p>
        </w:tc>
      </w:tr>
      <w:tr w:rsidR="00D55DC0" w:rsidRPr="0075078D" w14:paraId="0B0BE63F" w14:textId="77777777" w:rsidTr="619EA3ED">
        <w:trPr>
          <w:trHeight w:val="165"/>
          <w:jc w:val="center"/>
        </w:trPr>
        <w:tc>
          <w:tcPr>
            <w:tcW w:w="1080" w:type="dxa"/>
            <w:vMerge w:val="restart"/>
            <w:tcBorders>
              <w:left w:val="single" w:sz="12" w:space="0" w:color="auto"/>
              <w:right w:val="single" w:sz="12" w:space="0" w:color="auto"/>
            </w:tcBorders>
          </w:tcPr>
          <w:p w14:paraId="349FF3FD" w14:textId="77777777" w:rsidR="00D55DC0" w:rsidRPr="0075078D" w:rsidRDefault="00D55DC0" w:rsidP="00A158CE">
            <w:pPr>
              <w:spacing w:before="60" w:after="60"/>
              <w:jc w:val="both"/>
              <w:rPr>
                <w:b/>
                <w:sz w:val="18"/>
                <w:szCs w:val="18"/>
              </w:rPr>
            </w:pPr>
            <w:r w:rsidRPr="0075078D">
              <w:rPr>
                <w:b/>
                <w:sz w:val="18"/>
                <w:szCs w:val="18"/>
              </w:rPr>
              <w:t>Bronze</w:t>
            </w:r>
          </w:p>
        </w:tc>
        <w:tc>
          <w:tcPr>
            <w:tcW w:w="1290" w:type="dxa"/>
            <w:tcBorders>
              <w:left w:val="single" w:sz="12" w:space="0" w:color="auto"/>
              <w:right w:val="single" w:sz="12" w:space="0" w:color="auto"/>
            </w:tcBorders>
          </w:tcPr>
          <w:p w14:paraId="77600D25" w14:textId="77777777" w:rsidR="00D55DC0" w:rsidRPr="00D55DC0" w:rsidRDefault="00D55DC0" w:rsidP="619EA3ED">
            <w:pPr>
              <w:spacing w:before="60"/>
              <w:jc w:val="center"/>
              <w:rPr>
                <w:i/>
                <w:iCs/>
                <w:sz w:val="18"/>
                <w:szCs w:val="18"/>
              </w:rPr>
            </w:pPr>
            <w:r w:rsidRPr="619EA3ED">
              <w:rPr>
                <w:i/>
                <w:iCs/>
                <w:sz w:val="18"/>
                <w:szCs w:val="18"/>
              </w:rPr>
              <w:t>N</w:t>
            </w:r>
          </w:p>
        </w:tc>
        <w:tc>
          <w:tcPr>
            <w:tcW w:w="1322" w:type="dxa"/>
            <w:tcBorders>
              <w:left w:val="single" w:sz="12" w:space="0" w:color="auto"/>
            </w:tcBorders>
          </w:tcPr>
          <w:p w14:paraId="3AE53549" w14:textId="77777777" w:rsidR="00D55DC0" w:rsidRPr="00D55DC0" w:rsidRDefault="00D55DC0" w:rsidP="619EA3ED">
            <w:pPr>
              <w:spacing w:before="60"/>
              <w:jc w:val="center"/>
              <w:rPr>
                <w:sz w:val="18"/>
                <w:szCs w:val="18"/>
              </w:rPr>
            </w:pPr>
            <w:r w:rsidRPr="619EA3ED">
              <w:rPr>
                <w:sz w:val="18"/>
                <w:szCs w:val="18"/>
              </w:rPr>
              <w:t>11</w:t>
            </w:r>
          </w:p>
        </w:tc>
        <w:tc>
          <w:tcPr>
            <w:tcW w:w="1798" w:type="dxa"/>
          </w:tcPr>
          <w:p w14:paraId="0639FA47" w14:textId="77777777" w:rsidR="00D55DC0" w:rsidRPr="00D55DC0" w:rsidRDefault="00D55DC0" w:rsidP="619EA3ED">
            <w:pPr>
              <w:spacing w:before="60"/>
              <w:jc w:val="center"/>
              <w:rPr>
                <w:sz w:val="18"/>
                <w:szCs w:val="18"/>
              </w:rPr>
            </w:pPr>
            <w:r w:rsidRPr="619EA3ED">
              <w:rPr>
                <w:sz w:val="18"/>
                <w:szCs w:val="18"/>
              </w:rPr>
              <w:t>8</w:t>
            </w:r>
          </w:p>
        </w:tc>
        <w:tc>
          <w:tcPr>
            <w:tcW w:w="1890" w:type="dxa"/>
            <w:tcBorders>
              <w:right w:val="single" w:sz="12" w:space="0" w:color="auto"/>
            </w:tcBorders>
          </w:tcPr>
          <w:p w14:paraId="79433794" w14:textId="77777777" w:rsidR="00D55DC0" w:rsidRPr="00D55DC0" w:rsidRDefault="00D55DC0" w:rsidP="619EA3ED">
            <w:pPr>
              <w:spacing w:before="60"/>
              <w:jc w:val="center"/>
              <w:rPr>
                <w:sz w:val="18"/>
                <w:szCs w:val="18"/>
              </w:rPr>
            </w:pPr>
            <w:r w:rsidRPr="619EA3ED">
              <w:rPr>
                <w:sz w:val="18"/>
                <w:szCs w:val="18"/>
              </w:rPr>
              <w:t>7</w:t>
            </w:r>
          </w:p>
        </w:tc>
        <w:tc>
          <w:tcPr>
            <w:tcW w:w="1095" w:type="dxa"/>
            <w:tcBorders>
              <w:left w:val="single" w:sz="12" w:space="0" w:color="auto"/>
              <w:right w:val="single" w:sz="12" w:space="0" w:color="auto"/>
            </w:tcBorders>
          </w:tcPr>
          <w:p w14:paraId="22B8150A" w14:textId="77777777" w:rsidR="00D55DC0" w:rsidRPr="00D55DC0" w:rsidRDefault="00D55DC0" w:rsidP="619EA3ED">
            <w:pPr>
              <w:spacing w:before="60"/>
              <w:jc w:val="center"/>
              <w:rPr>
                <w:sz w:val="18"/>
                <w:szCs w:val="18"/>
              </w:rPr>
            </w:pPr>
            <w:r w:rsidRPr="619EA3ED">
              <w:rPr>
                <w:sz w:val="18"/>
                <w:szCs w:val="18"/>
              </w:rPr>
              <w:t>14</w:t>
            </w:r>
          </w:p>
        </w:tc>
      </w:tr>
      <w:tr w:rsidR="00D55DC0" w:rsidRPr="0075078D" w14:paraId="672EAF2B" w14:textId="77777777" w:rsidTr="619EA3ED">
        <w:trPr>
          <w:trHeight w:val="165"/>
          <w:jc w:val="center"/>
        </w:trPr>
        <w:tc>
          <w:tcPr>
            <w:tcW w:w="1080" w:type="dxa"/>
            <w:vMerge/>
          </w:tcPr>
          <w:p w14:paraId="628CA88C" w14:textId="77777777" w:rsidR="00D55DC0" w:rsidRPr="0075078D" w:rsidRDefault="00D55DC0" w:rsidP="00A158CE">
            <w:pPr>
              <w:spacing w:before="60" w:after="60"/>
              <w:jc w:val="both"/>
              <w:rPr>
                <w:b/>
                <w:sz w:val="18"/>
                <w:szCs w:val="18"/>
              </w:rPr>
            </w:pPr>
          </w:p>
        </w:tc>
        <w:tc>
          <w:tcPr>
            <w:tcW w:w="1290" w:type="dxa"/>
            <w:tcBorders>
              <w:left w:val="single" w:sz="12" w:space="0" w:color="auto"/>
              <w:bottom w:val="single" w:sz="12" w:space="0" w:color="auto"/>
              <w:right w:val="single" w:sz="12" w:space="0" w:color="auto"/>
            </w:tcBorders>
          </w:tcPr>
          <w:p w14:paraId="492ADC66" w14:textId="77777777" w:rsidR="00D55DC0" w:rsidRPr="00D55DC0" w:rsidRDefault="00D55DC0" w:rsidP="619EA3ED">
            <w:pPr>
              <w:spacing w:after="60"/>
              <w:jc w:val="center"/>
              <w:rPr>
                <w:i/>
                <w:iCs/>
                <w:sz w:val="18"/>
                <w:szCs w:val="18"/>
              </w:rPr>
            </w:pPr>
            <w:r w:rsidRPr="619EA3ED">
              <w:rPr>
                <w:i/>
                <w:iCs/>
                <w:sz w:val="18"/>
                <w:szCs w:val="18"/>
              </w:rPr>
              <w:t>%</w:t>
            </w:r>
          </w:p>
        </w:tc>
        <w:tc>
          <w:tcPr>
            <w:tcW w:w="1322" w:type="dxa"/>
            <w:tcBorders>
              <w:left w:val="single" w:sz="12" w:space="0" w:color="auto"/>
              <w:bottom w:val="single" w:sz="12" w:space="0" w:color="auto"/>
            </w:tcBorders>
          </w:tcPr>
          <w:p w14:paraId="0C561138" w14:textId="77777777" w:rsidR="00D55DC0" w:rsidRPr="0075078D" w:rsidRDefault="00D55DC0" w:rsidP="619EA3ED">
            <w:pPr>
              <w:spacing w:after="60"/>
              <w:jc w:val="center"/>
              <w:rPr>
                <w:sz w:val="18"/>
                <w:szCs w:val="18"/>
              </w:rPr>
            </w:pPr>
            <w:r w:rsidRPr="619EA3ED">
              <w:rPr>
                <w:sz w:val="18"/>
                <w:szCs w:val="18"/>
              </w:rPr>
              <w:t>78.6</w:t>
            </w:r>
          </w:p>
        </w:tc>
        <w:tc>
          <w:tcPr>
            <w:tcW w:w="1798" w:type="dxa"/>
            <w:tcBorders>
              <w:bottom w:val="single" w:sz="12" w:space="0" w:color="auto"/>
            </w:tcBorders>
          </w:tcPr>
          <w:p w14:paraId="5CDF54DA" w14:textId="77777777" w:rsidR="00D55DC0" w:rsidRPr="0075078D" w:rsidRDefault="00D55DC0" w:rsidP="619EA3ED">
            <w:pPr>
              <w:spacing w:after="60"/>
              <w:jc w:val="center"/>
              <w:rPr>
                <w:sz w:val="18"/>
                <w:szCs w:val="18"/>
              </w:rPr>
            </w:pPr>
            <w:r w:rsidRPr="619EA3ED">
              <w:rPr>
                <w:sz w:val="18"/>
                <w:szCs w:val="18"/>
              </w:rPr>
              <w:t>57.1</w:t>
            </w:r>
          </w:p>
        </w:tc>
        <w:tc>
          <w:tcPr>
            <w:tcW w:w="1890" w:type="dxa"/>
            <w:tcBorders>
              <w:bottom w:val="single" w:sz="12" w:space="0" w:color="auto"/>
              <w:right w:val="single" w:sz="12" w:space="0" w:color="auto"/>
            </w:tcBorders>
          </w:tcPr>
          <w:p w14:paraId="7EC72248" w14:textId="77777777" w:rsidR="00D55DC0" w:rsidRPr="0075078D" w:rsidRDefault="00D55DC0" w:rsidP="619EA3ED">
            <w:pPr>
              <w:spacing w:after="60"/>
              <w:jc w:val="center"/>
              <w:rPr>
                <w:sz w:val="18"/>
                <w:szCs w:val="18"/>
              </w:rPr>
            </w:pPr>
            <w:r w:rsidRPr="619EA3ED">
              <w:rPr>
                <w:sz w:val="18"/>
                <w:szCs w:val="18"/>
              </w:rPr>
              <w:t>50.0</w:t>
            </w:r>
          </w:p>
        </w:tc>
        <w:tc>
          <w:tcPr>
            <w:tcW w:w="1095" w:type="dxa"/>
            <w:tcBorders>
              <w:left w:val="single" w:sz="12" w:space="0" w:color="auto"/>
              <w:bottom w:val="single" w:sz="12" w:space="0" w:color="auto"/>
              <w:right w:val="single" w:sz="12" w:space="0" w:color="auto"/>
            </w:tcBorders>
          </w:tcPr>
          <w:p w14:paraId="387B245C" w14:textId="77777777" w:rsidR="00D55DC0" w:rsidRPr="00D55DC0" w:rsidRDefault="00D55DC0" w:rsidP="619EA3ED">
            <w:pPr>
              <w:spacing w:after="60"/>
              <w:jc w:val="center"/>
              <w:rPr>
                <w:sz w:val="18"/>
                <w:szCs w:val="18"/>
              </w:rPr>
            </w:pPr>
            <w:r w:rsidRPr="619EA3ED">
              <w:rPr>
                <w:sz w:val="18"/>
                <w:szCs w:val="18"/>
              </w:rPr>
              <w:t>10.9</w:t>
            </w:r>
          </w:p>
        </w:tc>
      </w:tr>
      <w:tr w:rsidR="00D55DC0" w:rsidRPr="0075078D" w14:paraId="6D35EF34" w14:textId="77777777" w:rsidTr="619EA3ED">
        <w:trPr>
          <w:trHeight w:val="165"/>
          <w:jc w:val="center"/>
        </w:trPr>
        <w:tc>
          <w:tcPr>
            <w:tcW w:w="1080" w:type="dxa"/>
            <w:vMerge w:val="restart"/>
            <w:tcBorders>
              <w:top w:val="single" w:sz="12" w:space="0" w:color="auto"/>
              <w:left w:val="single" w:sz="12" w:space="0" w:color="auto"/>
              <w:right w:val="single" w:sz="12" w:space="0" w:color="auto"/>
            </w:tcBorders>
          </w:tcPr>
          <w:p w14:paraId="0502E4FC" w14:textId="77777777" w:rsidR="00D55DC0" w:rsidRPr="0075078D" w:rsidRDefault="00D55DC0" w:rsidP="619EA3ED">
            <w:pPr>
              <w:spacing w:after="60"/>
              <w:rPr>
                <w:b/>
                <w:bCs/>
                <w:sz w:val="18"/>
                <w:szCs w:val="18"/>
              </w:rPr>
            </w:pPr>
            <w:r w:rsidRPr="619EA3ED">
              <w:rPr>
                <w:b/>
                <w:bCs/>
                <w:sz w:val="18"/>
                <w:szCs w:val="18"/>
              </w:rPr>
              <w:t>Total</w:t>
            </w:r>
          </w:p>
        </w:tc>
        <w:tc>
          <w:tcPr>
            <w:tcW w:w="1290" w:type="dxa"/>
            <w:tcBorders>
              <w:top w:val="single" w:sz="12" w:space="0" w:color="auto"/>
              <w:left w:val="single" w:sz="12" w:space="0" w:color="auto"/>
              <w:right w:val="single" w:sz="12" w:space="0" w:color="auto"/>
            </w:tcBorders>
          </w:tcPr>
          <w:p w14:paraId="5B173B49" w14:textId="77777777" w:rsidR="00D55DC0" w:rsidRPr="00D55DC0" w:rsidRDefault="00D55DC0" w:rsidP="619EA3ED">
            <w:pPr>
              <w:spacing w:before="60"/>
              <w:jc w:val="center"/>
              <w:rPr>
                <w:b/>
                <w:bCs/>
                <w:i/>
                <w:iCs/>
                <w:sz w:val="18"/>
                <w:szCs w:val="18"/>
              </w:rPr>
            </w:pPr>
            <w:r w:rsidRPr="619EA3ED">
              <w:rPr>
                <w:b/>
                <w:bCs/>
                <w:i/>
                <w:iCs/>
                <w:sz w:val="18"/>
                <w:szCs w:val="18"/>
              </w:rPr>
              <w:t>N</w:t>
            </w:r>
          </w:p>
        </w:tc>
        <w:tc>
          <w:tcPr>
            <w:tcW w:w="1322" w:type="dxa"/>
            <w:tcBorders>
              <w:top w:val="single" w:sz="12" w:space="0" w:color="auto"/>
              <w:left w:val="single" w:sz="12" w:space="0" w:color="auto"/>
            </w:tcBorders>
          </w:tcPr>
          <w:p w14:paraId="254A5203" w14:textId="77777777" w:rsidR="00D55DC0" w:rsidRPr="00D55DC0" w:rsidRDefault="00D55DC0" w:rsidP="619EA3ED">
            <w:pPr>
              <w:spacing w:before="60"/>
              <w:jc w:val="center"/>
              <w:rPr>
                <w:sz w:val="18"/>
                <w:szCs w:val="18"/>
              </w:rPr>
            </w:pPr>
            <w:r w:rsidRPr="619EA3ED">
              <w:rPr>
                <w:sz w:val="18"/>
                <w:szCs w:val="18"/>
              </w:rPr>
              <w:t>106</w:t>
            </w:r>
          </w:p>
        </w:tc>
        <w:tc>
          <w:tcPr>
            <w:tcW w:w="1798" w:type="dxa"/>
            <w:tcBorders>
              <w:top w:val="single" w:sz="12" w:space="0" w:color="auto"/>
            </w:tcBorders>
          </w:tcPr>
          <w:p w14:paraId="2F39058C" w14:textId="77777777" w:rsidR="00D55DC0" w:rsidRPr="00D55DC0" w:rsidRDefault="00D55DC0" w:rsidP="619EA3ED">
            <w:pPr>
              <w:spacing w:before="60"/>
              <w:jc w:val="center"/>
              <w:rPr>
                <w:sz w:val="18"/>
                <w:szCs w:val="18"/>
              </w:rPr>
            </w:pPr>
            <w:r w:rsidRPr="619EA3ED">
              <w:rPr>
                <w:sz w:val="18"/>
                <w:szCs w:val="18"/>
              </w:rPr>
              <w:t>64</w:t>
            </w:r>
          </w:p>
        </w:tc>
        <w:tc>
          <w:tcPr>
            <w:tcW w:w="1890" w:type="dxa"/>
            <w:tcBorders>
              <w:top w:val="single" w:sz="12" w:space="0" w:color="auto"/>
              <w:right w:val="single" w:sz="12" w:space="0" w:color="auto"/>
            </w:tcBorders>
          </w:tcPr>
          <w:p w14:paraId="39969823" w14:textId="77777777" w:rsidR="00D55DC0" w:rsidRPr="00D55DC0" w:rsidRDefault="00D55DC0" w:rsidP="619EA3ED">
            <w:pPr>
              <w:spacing w:before="60"/>
              <w:jc w:val="center"/>
              <w:rPr>
                <w:sz w:val="18"/>
                <w:szCs w:val="18"/>
              </w:rPr>
            </w:pPr>
            <w:r w:rsidRPr="619EA3ED">
              <w:rPr>
                <w:sz w:val="18"/>
                <w:szCs w:val="18"/>
              </w:rPr>
              <w:t>57</w:t>
            </w:r>
          </w:p>
        </w:tc>
        <w:tc>
          <w:tcPr>
            <w:tcW w:w="1095" w:type="dxa"/>
            <w:tcBorders>
              <w:top w:val="single" w:sz="12" w:space="0" w:color="auto"/>
              <w:left w:val="single" w:sz="12" w:space="0" w:color="auto"/>
              <w:right w:val="single" w:sz="12" w:space="0" w:color="auto"/>
            </w:tcBorders>
          </w:tcPr>
          <w:p w14:paraId="61574D1B" w14:textId="77777777" w:rsidR="00D55DC0" w:rsidRPr="00D55DC0" w:rsidRDefault="00D55DC0" w:rsidP="619EA3ED">
            <w:pPr>
              <w:spacing w:before="60"/>
              <w:jc w:val="center"/>
              <w:rPr>
                <w:sz w:val="18"/>
                <w:szCs w:val="18"/>
              </w:rPr>
            </w:pPr>
            <w:r w:rsidRPr="619EA3ED">
              <w:rPr>
                <w:sz w:val="18"/>
                <w:szCs w:val="18"/>
              </w:rPr>
              <w:t>128</w:t>
            </w:r>
          </w:p>
        </w:tc>
      </w:tr>
      <w:tr w:rsidR="00D55DC0" w:rsidRPr="0075078D" w14:paraId="6CFF35EF" w14:textId="77777777" w:rsidTr="619EA3ED">
        <w:trPr>
          <w:trHeight w:val="165"/>
          <w:jc w:val="center"/>
        </w:trPr>
        <w:tc>
          <w:tcPr>
            <w:tcW w:w="1080" w:type="dxa"/>
            <w:vMerge/>
          </w:tcPr>
          <w:p w14:paraId="49269B65" w14:textId="77777777" w:rsidR="00D55DC0" w:rsidRDefault="00D55DC0" w:rsidP="00A158CE">
            <w:pPr>
              <w:spacing w:before="60" w:after="60"/>
              <w:jc w:val="both"/>
              <w:rPr>
                <w:b/>
                <w:sz w:val="18"/>
                <w:szCs w:val="18"/>
              </w:rPr>
            </w:pPr>
          </w:p>
        </w:tc>
        <w:tc>
          <w:tcPr>
            <w:tcW w:w="1290" w:type="dxa"/>
            <w:tcBorders>
              <w:left w:val="single" w:sz="12" w:space="0" w:color="auto"/>
              <w:bottom w:val="single" w:sz="12" w:space="0" w:color="auto"/>
              <w:right w:val="single" w:sz="12" w:space="0" w:color="auto"/>
            </w:tcBorders>
          </w:tcPr>
          <w:p w14:paraId="6924551E" w14:textId="77777777" w:rsidR="00D55DC0" w:rsidRPr="00D55DC0" w:rsidRDefault="00D55DC0" w:rsidP="619EA3ED">
            <w:pPr>
              <w:spacing w:after="60"/>
              <w:jc w:val="center"/>
              <w:rPr>
                <w:b/>
                <w:bCs/>
                <w:i/>
                <w:iCs/>
                <w:sz w:val="18"/>
                <w:szCs w:val="18"/>
              </w:rPr>
            </w:pPr>
            <w:r w:rsidRPr="619EA3ED">
              <w:rPr>
                <w:b/>
                <w:bCs/>
                <w:i/>
                <w:iCs/>
                <w:sz w:val="18"/>
                <w:szCs w:val="18"/>
              </w:rPr>
              <w:t>%</w:t>
            </w:r>
          </w:p>
        </w:tc>
        <w:tc>
          <w:tcPr>
            <w:tcW w:w="1322" w:type="dxa"/>
            <w:tcBorders>
              <w:left w:val="single" w:sz="12" w:space="0" w:color="auto"/>
              <w:bottom w:val="single" w:sz="12" w:space="0" w:color="auto"/>
            </w:tcBorders>
          </w:tcPr>
          <w:p w14:paraId="31E26187" w14:textId="77777777" w:rsidR="00D55DC0" w:rsidRPr="00D55DC0" w:rsidRDefault="00D55DC0" w:rsidP="619EA3ED">
            <w:pPr>
              <w:spacing w:after="60"/>
              <w:jc w:val="center"/>
              <w:rPr>
                <w:sz w:val="18"/>
                <w:szCs w:val="18"/>
              </w:rPr>
            </w:pPr>
            <w:r w:rsidRPr="619EA3ED">
              <w:rPr>
                <w:sz w:val="18"/>
                <w:szCs w:val="18"/>
              </w:rPr>
              <w:t>83.0</w:t>
            </w:r>
          </w:p>
        </w:tc>
        <w:tc>
          <w:tcPr>
            <w:tcW w:w="1798" w:type="dxa"/>
            <w:tcBorders>
              <w:bottom w:val="single" w:sz="12" w:space="0" w:color="auto"/>
            </w:tcBorders>
          </w:tcPr>
          <w:p w14:paraId="54C434A9" w14:textId="77777777" w:rsidR="00D55DC0" w:rsidRPr="00D55DC0" w:rsidRDefault="00D55DC0" w:rsidP="619EA3ED">
            <w:pPr>
              <w:spacing w:after="60"/>
              <w:jc w:val="center"/>
              <w:rPr>
                <w:sz w:val="18"/>
                <w:szCs w:val="18"/>
              </w:rPr>
            </w:pPr>
            <w:r w:rsidRPr="619EA3ED">
              <w:rPr>
                <w:sz w:val="18"/>
                <w:szCs w:val="18"/>
              </w:rPr>
              <w:t>50.0</w:t>
            </w:r>
          </w:p>
        </w:tc>
        <w:tc>
          <w:tcPr>
            <w:tcW w:w="1890" w:type="dxa"/>
            <w:tcBorders>
              <w:bottom w:val="single" w:sz="12" w:space="0" w:color="auto"/>
              <w:right w:val="single" w:sz="12" w:space="0" w:color="auto"/>
            </w:tcBorders>
          </w:tcPr>
          <w:p w14:paraId="06250F37" w14:textId="77777777" w:rsidR="00D55DC0" w:rsidRPr="00D55DC0" w:rsidRDefault="00D55DC0" w:rsidP="619EA3ED">
            <w:pPr>
              <w:spacing w:after="60"/>
              <w:jc w:val="center"/>
              <w:rPr>
                <w:sz w:val="18"/>
                <w:szCs w:val="18"/>
              </w:rPr>
            </w:pPr>
            <w:r w:rsidRPr="619EA3ED">
              <w:rPr>
                <w:sz w:val="18"/>
                <w:szCs w:val="18"/>
              </w:rPr>
              <w:t>45.0</w:t>
            </w:r>
          </w:p>
        </w:tc>
        <w:tc>
          <w:tcPr>
            <w:tcW w:w="1095" w:type="dxa"/>
            <w:tcBorders>
              <w:left w:val="single" w:sz="12" w:space="0" w:color="auto"/>
              <w:bottom w:val="single" w:sz="12" w:space="0" w:color="auto"/>
              <w:right w:val="single" w:sz="12" w:space="0" w:color="auto"/>
            </w:tcBorders>
          </w:tcPr>
          <w:p w14:paraId="56C55FF6" w14:textId="77777777" w:rsidR="00D55DC0" w:rsidRPr="00D55DC0" w:rsidRDefault="00D55DC0" w:rsidP="619EA3ED">
            <w:pPr>
              <w:spacing w:after="60"/>
              <w:jc w:val="center"/>
              <w:rPr>
                <w:sz w:val="18"/>
                <w:szCs w:val="18"/>
              </w:rPr>
            </w:pPr>
            <w:r w:rsidRPr="619EA3ED">
              <w:rPr>
                <w:sz w:val="18"/>
                <w:szCs w:val="18"/>
              </w:rPr>
              <w:t>100.0</w:t>
            </w:r>
          </w:p>
        </w:tc>
      </w:tr>
    </w:tbl>
    <w:p w14:paraId="15C4FC4D" w14:textId="77777777" w:rsidR="0010774A" w:rsidRDefault="0010774A" w:rsidP="00A158CE">
      <w:pPr>
        <w:jc w:val="both"/>
      </w:pPr>
    </w:p>
    <w:p w14:paraId="410FCDCB" w14:textId="77777777" w:rsidR="002A6740" w:rsidRPr="002A6740" w:rsidRDefault="002A6740" w:rsidP="00A158CE">
      <w:pPr>
        <w:jc w:val="both"/>
        <w:rPr>
          <w:color w:val="1F4E79" w:themeColor="accent1" w:themeShade="80"/>
          <w:sz w:val="18"/>
        </w:rPr>
      </w:pPr>
      <w:r w:rsidRPr="002A6740">
        <w:rPr>
          <w:color w:val="1F4E79" w:themeColor="accent1" w:themeShade="80"/>
          <w:sz w:val="18"/>
        </w:rPr>
        <w:t xml:space="preserve">Table </w:t>
      </w:r>
      <w:r>
        <w:rPr>
          <w:color w:val="1F4E79" w:themeColor="accent1" w:themeShade="80"/>
          <w:sz w:val="18"/>
        </w:rPr>
        <w:t>2</w:t>
      </w:r>
      <w:r w:rsidRPr="002A6740">
        <w:rPr>
          <w:color w:val="1F4E79" w:themeColor="accent1" w:themeShade="80"/>
          <w:sz w:val="18"/>
        </w:rPr>
        <w:t xml:space="preserve">: </w:t>
      </w:r>
      <w:r>
        <w:rPr>
          <w:color w:val="1F4E79" w:themeColor="accent1" w:themeShade="80"/>
          <w:sz w:val="18"/>
        </w:rPr>
        <w:t>Percentage numbers of results narratives using enterprise-related words</w:t>
      </w:r>
    </w:p>
    <w:p w14:paraId="1656CAF3" w14:textId="77777777" w:rsidR="002A6740" w:rsidRDefault="002A6740" w:rsidP="00A158CE">
      <w:pPr>
        <w:jc w:val="both"/>
      </w:pPr>
    </w:p>
    <w:tbl>
      <w:tblPr>
        <w:tblStyle w:val="TableGrid"/>
        <w:tblW w:w="8536" w:type="dxa"/>
        <w:jc w:val="center"/>
        <w:tblLook w:val="04A0" w:firstRow="1" w:lastRow="0" w:firstColumn="1" w:lastColumn="0" w:noHBand="0" w:noVBand="1"/>
      </w:tblPr>
      <w:tblGrid>
        <w:gridCol w:w="1080"/>
        <w:gridCol w:w="1305"/>
        <w:gridCol w:w="1307"/>
        <w:gridCol w:w="1798"/>
        <w:gridCol w:w="1921"/>
        <w:gridCol w:w="1125"/>
      </w:tblGrid>
      <w:tr w:rsidR="00D55DC0" w:rsidRPr="0075078D" w14:paraId="25F88E06" w14:textId="77777777" w:rsidTr="619EA3ED">
        <w:trPr>
          <w:jc w:val="center"/>
        </w:trPr>
        <w:tc>
          <w:tcPr>
            <w:tcW w:w="1080" w:type="dxa"/>
            <w:tcBorders>
              <w:top w:val="nil"/>
              <w:left w:val="nil"/>
              <w:bottom w:val="single" w:sz="12" w:space="0" w:color="auto"/>
              <w:right w:val="single" w:sz="12" w:space="0" w:color="auto"/>
            </w:tcBorders>
          </w:tcPr>
          <w:p w14:paraId="1AB49CD4" w14:textId="77777777" w:rsidR="00D55DC0" w:rsidRPr="0075078D" w:rsidRDefault="00D55DC0" w:rsidP="00A158CE">
            <w:pPr>
              <w:spacing w:before="60" w:after="60"/>
              <w:jc w:val="both"/>
              <w:rPr>
                <w:sz w:val="18"/>
                <w:szCs w:val="18"/>
              </w:rPr>
            </w:pPr>
          </w:p>
        </w:tc>
        <w:tc>
          <w:tcPr>
            <w:tcW w:w="1305" w:type="dxa"/>
            <w:tcBorders>
              <w:top w:val="single" w:sz="12" w:space="0" w:color="auto"/>
              <w:left w:val="single" w:sz="12" w:space="0" w:color="auto"/>
              <w:bottom w:val="single" w:sz="12" w:space="0" w:color="auto"/>
              <w:right w:val="single" w:sz="12" w:space="0" w:color="auto"/>
            </w:tcBorders>
          </w:tcPr>
          <w:p w14:paraId="1DF12E9C" w14:textId="21C39418" w:rsidR="00D55DC0" w:rsidRPr="0075078D" w:rsidRDefault="00D55DC0" w:rsidP="619EA3ED">
            <w:pPr>
              <w:spacing w:before="60" w:after="60"/>
              <w:jc w:val="center"/>
              <w:rPr>
                <w:b/>
                <w:bCs/>
                <w:sz w:val="18"/>
                <w:szCs w:val="18"/>
              </w:rPr>
            </w:pPr>
            <w:r w:rsidRPr="619EA3ED">
              <w:rPr>
                <w:b/>
                <w:bCs/>
                <w:sz w:val="18"/>
                <w:szCs w:val="18"/>
              </w:rPr>
              <w:t>Number / Percentag</w:t>
            </w:r>
            <w:r w:rsidR="4D68AB97" w:rsidRPr="619EA3ED">
              <w:rPr>
                <w:b/>
                <w:bCs/>
                <w:sz w:val="18"/>
                <w:szCs w:val="18"/>
              </w:rPr>
              <w:t>e</w:t>
            </w:r>
          </w:p>
        </w:tc>
        <w:tc>
          <w:tcPr>
            <w:tcW w:w="1307" w:type="dxa"/>
            <w:tcBorders>
              <w:top w:val="single" w:sz="12" w:space="0" w:color="auto"/>
              <w:left w:val="single" w:sz="12" w:space="0" w:color="auto"/>
              <w:bottom w:val="single" w:sz="12" w:space="0" w:color="auto"/>
            </w:tcBorders>
          </w:tcPr>
          <w:p w14:paraId="4895D5FC" w14:textId="77777777" w:rsidR="00D55DC0" w:rsidRPr="0075078D" w:rsidRDefault="00D55DC0" w:rsidP="619EA3ED">
            <w:pPr>
              <w:spacing w:before="60" w:after="60"/>
              <w:jc w:val="center"/>
              <w:rPr>
                <w:b/>
                <w:bCs/>
                <w:sz w:val="18"/>
                <w:szCs w:val="18"/>
              </w:rPr>
            </w:pPr>
            <w:r w:rsidRPr="619EA3ED">
              <w:rPr>
                <w:b/>
                <w:bCs/>
                <w:sz w:val="18"/>
                <w:szCs w:val="18"/>
              </w:rPr>
              <w:t>Enterprise</w:t>
            </w:r>
          </w:p>
        </w:tc>
        <w:tc>
          <w:tcPr>
            <w:tcW w:w="1798" w:type="dxa"/>
            <w:tcBorders>
              <w:top w:val="single" w:sz="12" w:space="0" w:color="auto"/>
              <w:bottom w:val="single" w:sz="12" w:space="0" w:color="auto"/>
            </w:tcBorders>
          </w:tcPr>
          <w:p w14:paraId="373F110B" w14:textId="77777777" w:rsidR="00D55DC0" w:rsidRPr="0075078D" w:rsidRDefault="00D55DC0" w:rsidP="619EA3ED">
            <w:pPr>
              <w:spacing w:before="60" w:after="60"/>
              <w:jc w:val="center"/>
              <w:rPr>
                <w:b/>
                <w:bCs/>
                <w:sz w:val="18"/>
                <w:szCs w:val="18"/>
              </w:rPr>
            </w:pPr>
            <w:r w:rsidRPr="619EA3ED">
              <w:rPr>
                <w:b/>
                <w:bCs/>
                <w:sz w:val="18"/>
                <w:szCs w:val="18"/>
              </w:rPr>
              <w:t>Entrepreneurship</w:t>
            </w:r>
          </w:p>
        </w:tc>
        <w:tc>
          <w:tcPr>
            <w:tcW w:w="1921" w:type="dxa"/>
            <w:tcBorders>
              <w:top w:val="single" w:sz="12" w:space="0" w:color="auto"/>
              <w:bottom w:val="single" w:sz="12" w:space="0" w:color="auto"/>
              <w:right w:val="single" w:sz="12" w:space="0" w:color="auto"/>
            </w:tcBorders>
          </w:tcPr>
          <w:p w14:paraId="097DAD70" w14:textId="77777777" w:rsidR="00D55DC0" w:rsidRPr="0075078D" w:rsidRDefault="00D55DC0" w:rsidP="619EA3ED">
            <w:pPr>
              <w:spacing w:before="60" w:after="60"/>
              <w:jc w:val="center"/>
              <w:rPr>
                <w:b/>
                <w:bCs/>
                <w:sz w:val="18"/>
                <w:szCs w:val="18"/>
              </w:rPr>
            </w:pPr>
            <w:r w:rsidRPr="619EA3ED">
              <w:rPr>
                <w:b/>
                <w:bCs/>
                <w:sz w:val="18"/>
                <w:szCs w:val="18"/>
              </w:rPr>
              <w:t>Entrepreneurial</w:t>
            </w:r>
          </w:p>
        </w:tc>
        <w:tc>
          <w:tcPr>
            <w:tcW w:w="1125" w:type="dxa"/>
            <w:tcBorders>
              <w:top w:val="single" w:sz="12" w:space="0" w:color="auto"/>
              <w:left w:val="single" w:sz="12" w:space="0" w:color="auto"/>
              <w:bottom w:val="single" w:sz="12" w:space="0" w:color="auto"/>
              <w:right w:val="single" w:sz="12" w:space="0" w:color="auto"/>
            </w:tcBorders>
          </w:tcPr>
          <w:p w14:paraId="19DF8EC2" w14:textId="038ABB2B" w:rsidR="00D55DC0" w:rsidRPr="0075078D" w:rsidRDefault="00D55DC0" w:rsidP="619EA3ED">
            <w:pPr>
              <w:spacing w:before="60" w:after="60"/>
              <w:jc w:val="center"/>
              <w:rPr>
                <w:b/>
                <w:bCs/>
                <w:sz w:val="18"/>
                <w:szCs w:val="18"/>
              </w:rPr>
            </w:pPr>
            <w:r w:rsidRPr="619EA3ED">
              <w:rPr>
                <w:b/>
                <w:bCs/>
                <w:sz w:val="18"/>
                <w:szCs w:val="18"/>
              </w:rPr>
              <w:t>Total</w:t>
            </w:r>
          </w:p>
          <w:p w14:paraId="35735E61" w14:textId="31E0F21E" w:rsidR="00D55DC0" w:rsidRPr="0075078D" w:rsidRDefault="121F354F" w:rsidP="619EA3ED">
            <w:pPr>
              <w:spacing w:before="60" w:after="60"/>
              <w:jc w:val="center"/>
              <w:rPr>
                <w:b/>
                <w:bCs/>
                <w:sz w:val="18"/>
                <w:szCs w:val="18"/>
              </w:rPr>
            </w:pPr>
            <w:r w:rsidRPr="619EA3ED">
              <w:rPr>
                <w:b/>
                <w:bCs/>
                <w:sz w:val="18"/>
                <w:szCs w:val="18"/>
              </w:rPr>
              <w:t>Award</w:t>
            </w:r>
            <w:r w:rsidR="6A7651BA" w:rsidRPr="619EA3ED">
              <w:rPr>
                <w:b/>
                <w:bCs/>
                <w:sz w:val="18"/>
                <w:szCs w:val="18"/>
              </w:rPr>
              <w:t>e</w:t>
            </w:r>
            <w:r w:rsidR="20AD9819" w:rsidRPr="619EA3ED">
              <w:rPr>
                <w:b/>
                <w:bCs/>
                <w:sz w:val="18"/>
                <w:szCs w:val="18"/>
              </w:rPr>
              <w:t>d</w:t>
            </w:r>
          </w:p>
        </w:tc>
      </w:tr>
      <w:tr w:rsidR="00D55DC0" w:rsidRPr="0075078D" w14:paraId="41AB2D0C" w14:textId="77777777" w:rsidTr="619EA3ED">
        <w:trPr>
          <w:trHeight w:val="300"/>
          <w:jc w:val="center"/>
        </w:trPr>
        <w:tc>
          <w:tcPr>
            <w:tcW w:w="1080" w:type="dxa"/>
            <w:vMerge w:val="restart"/>
            <w:tcBorders>
              <w:top w:val="single" w:sz="12" w:space="0" w:color="auto"/>
              <w:left w:val="single" w:sz="12" w:space="0" w:color="auto"/>
              <w:right w:val="single" w:sz="12" w:space="0" w:color="auto"/>
            </w:tcBorders>
          </w:tcPr>
          <w:p w14:paraId="4B6D4D67" w14:textId="77777777" w:rsidR="00D55DC0" w:rsidRPr="0075078D" w:rsidRDefault="00D55DC0" w:rsidP="00A158CE">
            <w:pPr>
              <w:spacing w:before="60" w:after="60"/>
              <w:jc w:val="both"/>
              <w:rPr>
                <w:b/>
                <w:sz w:val="18"/>
                <w:szCs w:val="18"/>
              </w:rPr>
            </w:pPr>
            <w:r w:rsidRPr="0075078D">
              <w:rPr>
                <w:b/>
                <w:sz w:val="18"/>
                <w:szCs w:val="18"/>
              </w:rPr>
              <w:t>Gold</w:t>
            </w:r>
          </w:p>
        </w:tc>
        <w:tc>
          <w:tcPr>
            <w:tcW w:w="1305" w:type="dxa"/>
            <w:tcBorders>
              <w:top w:val="single" w:sz="12" w:space="0" w:color="auto"/>
              <w:left w:val="single" w:sz="12" w:space="0" w:color="auto"/>
              <w:right w:val="single" w:sz="12" w:space="0" w:color="auto"/>
            </w:tcBorders>
          </w:tcPr>
          <w:p w14:paraId="3B3F3E5D" w14:textId="77777777" w:rsidR="00D55DC0" w:rsidRPr="00D55DC0" w:rsidRDefault="00D55DC0" w:rsidP="619EA3ED">
            <w:pPr>
              <w:spacing w:before="60"/>
              <w:jc w:val="center"/>
              <w:rPr>
                <w:i/>
                <w:iCs/>
                <w:sz w:val="18"/>
                <w:szCs w:val="18"/>
              </w:rPr>
            </w:pPr>
            <w:r w:rsidRPr="619EA3ED">
              <w:rPr>
                <w:i/>
                <w:iCs/>
                <w:sz w:val="18"/>
                <w:szCs w:val="18"/>
              </w:rPr>
              <w:t>N</w:t>
            </w:r>
          </w:p>
        </w:tc>
        <w:tc>
          <w:tcPr>
            <w:tcW w:w="1307" w:type="dxa"/>
            <w:tcBorders>
              <w:top w:val="single" w:sz="12" w:space="0" w:color="auto"/>
              <w:left w:val="single" w:sz="12" w:space="0" w:color="auto"/>
            </w:tcBorders>
          </w:tcPr>
          <w:p w14:paraId="04483661" w14:textId="77777777" w:rsidR="00D55DC0" w:rsidRPr="0075078D" w:rsidRDefault="00D55DC0" w:rsidP="619EA3ED">
            <w:pPr>
              <w:spacing w:before="60"/>
              <w:jc w:val="center"/>
              <w:rPr>
                <w:sz w:val="18"/>
                <w:szCs w:val="18"/>
              </w:rPr>
            </w:pPr>
            <w:r w:rsidRPr="619EA3ED">
              <w:rPr>
                <w:sz w:val="18"/>
                <w:szCs w:val="18"/>
              </w:rPr>
              <w:t>6</w:t>
            </w:r>
          </w:p>
        </w:tc>
        <w:tc>
          <w:tcPr>
            <w:tcW w:w="1798" w:type="dxa"/>
            <w:tcBorders>
              <w:top w:val="single" w:sz="12" w:space="0" w:color="auto"/>
            </w:tcBorders>
          </w:tcPr>
          <w:p w14:paraId="615ACA61" w14:textId="77777777" w:rsidR="00D55DC0" w:rsidRPr="0075078D" w:rsidRDefault="00D55DC0" w:rsidP="619EA3ED">
            <w:pPr>
              <w:spacing w:before="60"/>
              <w:jc w:val="center"/>
              <w:rPr>
                <w:sz w:val="18"/>
                <w:szCs w:val="18"/>
              </w:rPr>
            </w:pPr>
            <w:r w:rsidRPr="619EA3ED">
              <w:rPr>
                <w:sz w:val="18"/>
                <w:szCs w:val="18"/>
              </w:rPr>
              <w:t>3</w:t>
            </w:r>
          </w:p>
        </w:tc>
        <w:tc>
          <w:tcPr>
            <w:tcW w:w="1921" w:type="dxa"/>
            <w:tcBorders>
              <w:top w:val="single" w:sz="12" w:space="0" w:color="auto"/>
              <w:right w:val="single" w:sz="12" w:space="0" w:color="auto"/>
            </w:tcBorders>
          </w:tcPr>
          <w:p w14:paraId="7312CC58" w14:textId="77777777" w:rsidR="00D55DC0" w:rsidRPr="0075078D" w:rsidRDefault="00D55DC0" w:rsidP="619EA3ED">
            <w:pPr>
              <w:spacing w:before="60"/>
              <w:jc w:val="center"/>
              <w:rPr>
                <w:sz w:val="18"/>
                <w:szCs w:val="18"/>
              </w:rPr>
            </w:pPr>
            <w:r w:rsidRPr="619EA3ED">
              <w:rPr>
                <w:sz w:val="18"/>
                <w:szCs w:val="18"/>
              </w:rPr>
              <w:t>0</w:t>
            </w:r>
          </w:p>
        </w:tc>
        <w:tc>
          <w:tcPr>
            <w:tcW w:w="1125" w:type="dxa"/>
            <w:tcBorders>
              <w:top w:val="single" w:sz="12" w:space="0" w:color="auto"/>
              <w:left w:val="single" w:sz="12" w:space="0" w:color="auto"/>
              <w:right w:val="single" w:sz="12" w:space="0" w:color="auto"/>
            </w:tcBorders>
          </w:tcPr>
          <w:p w14:paraId="33363565" w14:textId="77777777" w:rsidR="00D55DC0" w:rsidRPr="00D55DC0" w:rsidRDefault="00D55DC0" w:rsidP="619EA3ED">
            <w:pPr>
              <w:spacing w:before="60"/>
              <w:jc w:val="center"/>
              <w:rPr>
                <w:sz w:val="18"/>
                <w:szCs w:val="18"/>
              </w:rPr>
            </w:pPr>
            <w:r w:rsidRPr="619EA3ED">
              <w:rPr>
                <w:sz w:val="18"/>
                <w:szCs w:val="18"/>
              </w:rPr>
              <w:t>47</w:t>
            </w:r>
          </w:p>
        </w:tc>
      </w:tr>
      <w:tr w:rsidR="00D55DC0" w:rsidRPr="0075078D" w14:paraId="1F80967B" w14:textId="77777777" w:rsidTr="619EA3ED">
        <w:trPr>
          <w:trHeight w:val="300"/>
          <w:jc w:val="center"/>
        </w:trPr>
        <w:tc>
          <w:tcPr>
            <w:tcW w:w="1080" w:type="dxa"/>
            <w:vMerge/>
          </w:tcPr>
          <w:p w14:paraId="5EEBF887" w14:textId="77777777" w:rsidR="00D55DC0" w:rsidRPr="0075078D" w:rsidRDefault="00D55DC0" w:rsidP="00A158CE">
            <w:pPr>
              <w:spacing w:before="60" w:after="60"/>
              <w:jc w:val="both"/>
              <w:rPr>
                <w:b/>
                <w:sz w:val="18"/>
                <w:szCs w:val="18"/>
              </w:rPr>
            </w:pPr>
          </w:p>
        </w:tc>
        <w:tc>
          <w:tcPr>
            <w:tcW w:w="1305" w:type="dxa"/>
            <w:tcBorders>
              <w:left w:val="single" w:sz="12" w:space="0" w:color="auto"/>
              <w:right w:val="single" w:sz="12" w:space="0" w:color="auto"/>
            </w:tcBorders>
          </w:tcPr>
          <w:p w14:paraId="1DAA44B6" w14:textId="77777777" w:rsidR="00D55DC0" w:rsidRPr="00D55DC0" w:rsidRDefault="00D55DC0" w:rsidP="619EA3ED">
            <w:pPr>
              <w:spacing w:after="60"/>
              <w:jc w:val="center"/>
              <w:rPr>
                <w:i/>
                <w:iCs/>
                <w:sz w:val="18"/>
                <w:szCs w:val="18"/>
              </w:rPr>
            </w:pPr>
            <w:r w:rsidRPr="619EA3ED">
              <w:rPr>
                <w:i/>
                <w:iCs/>
                <w:sz w:val="18"/>
                <w:szCs w:val="18"/>
              </w:rPr>
              <w:t>%</w:t>
            </w:r>
          </w:p>
        </w:tc>
        <w:tc>
          <w:tcPr>
            <w:tcW w:w="1307" w:type="dxa"/>
            <w:tcBorders>
              <w:left w:val="single" w:sz="12" w:space="0" w:color="auto"/>
            </w:tcBorders>
          </w:tcPr>
          <w:p w14:paraId="281AC2A6" w14:textId="77777777" w:rsidR="00D55DC0" w:rsidRDefault="00D55DC0" w:rsidP="619EA3ED">
            <w:pPr>
              <w:spacing w:after="60"/>
              <w:jc w:val="center"/>
              <w:rPr>
                <w:sz w:val="18"/>
                <w:szCs w:val="18"/>
              </w:rPr>
            </w:pPr>
            <w:r w:rsidRPr="619EA3ED">
              <w:rPr>
                <w:sz w:val="18"/>
                <w:szCs w:val="18"/>
              </w:rPr>
              <w:t>12.8</w:t>
            </w:r>
          </w:p>
        </w:tc>
        <w:tc>
          <w:tcPr>
            <w:tcW w:w="1798" w:type="dxa"/>
          </w:tcPr>
          <w:p w14:paraId="25AA2D8D" w14:textId="77777777" w:rsidR="00D55DC0" w:rsidRPr="0075078D" w:rsidRDefault="00D55DC0" w:rsidP="619EA3ED">
            <w:pPr>
              <w:spacing w:after="60"/>
              <w:jc w:val="center"/>
              <w:rPr>
                <w:sz w:val="18"/>
                <w:szCs w:val="18"/>
              </w:rPr>
            </w:pPr>
            <w:r w:rsidRPr="619EA3ED">
              <w:rPr>
                <w:sz w:val="18"/>
                <w:szCs w:val="18"/>
              </w:rPr>
              <w:t>6.4</w:t>
            </w:r>
          </w:p>
        </w:tc>
        <w:tc>
          <w:tcPr>
            <w:tcW w:w="1921" w:type="dxa"/>
            <w:tcBorders>
              <w:right w:val="single" w:sz="12" w:space="0" w:color="auto"/>
            </w:tcBorders>
          </w:tcPr>
          <w:p w14:paraId="0CA24C7F" w14:textId="77777777" w:rsidR="00D55DC0" w:rsidRPr="0075078D" w:rsidRDefault="00D55DC0" w:rsidP="619EA3ED">
            <w:pPr>
              <w:spacing w:after="60"/>
              <w:jc w:val="center"/>
              <w:rPr>
                <w:sz w:val="18"/>
                <w:szCs w:val="18"/>
              </w:rPr>
            </w:pPr>
            <w:r w:rsidRPr="619EA3ED">
              <w:rPr>
                <w:sz w:val="18"/>
                <w:szCs w:val="18"/>
              </w:rPr>
              <w:t>0</w:t>
            </w:r>
          </w:p>
        </w:tc>
        <w:tc>
          <w:tcPr>
            <w:tcW w:w="1125" w:type="dxa"/>
            <w:tcBorders>
              <w:left w:val="single" w:sz="12" w:space="0" w:color="auto"/>
              <w:right w:val="single" w:sz="12" w:space="0" w:color="auto"/>
            </w:tcBorders>
          </w:tcPr>
          <w:p w14:paraId="495D688C" w14:textId="77777777" w:rsidR="00D55DC0" w:rsidRPr="00D55DC0" w:rsidRDefault="00D55DC0" w:rsidP="619EA3ED">
            <w:pPr>
              <w:spacing w:after="60"/>
              <w:jc w:val="center"/>
              <w:rPr>
                <w:sz w:val="18"/>
                <w:szCs w:val="18"/>
              </w:rPr>
            </w:pPr>
            <w:r w:rsidRPr="619EA3ED">
              <w:rPr>
                <w:sz w:val="18"/>
                <w:szCs w:val="18"/>
              </w:rPr>
              <w:t>36.7</w:t>
            </w:r>
          </w:p>
        </w:tc>
      </w:tr>
      <w:tr w:rsidR="00D55DC0" w:rsidRPr="0075078D" w14:paraId="4E43349F" w14:textId="77777777" w:rsidTr="619EA3ED">
        <w:trPr>
          <w:trHeight w:val="165"/>
          <w:jc w:val="center"/>
        </w:trPr>
        <w:tc>
          <w:tcPr>
            <w:tcW w:w="1080" w:type="dxa"/>
            <w:vMerge w:val="restart"/>
            <w:tcBorders>
              <w:left w:val="single" w:sz="12" w:space="0" w:color="auto"/>
              <w:right w:val="single" w:sz="12" w:space="0" w:color="auto"/>
            </w:tcBorders>
          </w:tcPr>
          <w:p w14:paraId="2319BB6F" w14:textId="77777777" w:rsidR="00D55DC0" w:rsidRPr="0075078D" w:rsidRDefault="00D55DC0" w:rsidP="00A158CE">
            <w:pPr>
              <w:spacing w:before="60" w:after="60"/>
              <w:jc w:val="both"/>
              <w:rPr>
                <w:b/>
                <w:sz w:val="18"/>
                <w:szCs w:val="18"/>
              </w:rPr>
            </w:pPr>
            <w:r w:rsidRPr="0075078D">
              <w:rPr>
                <w:b/>
                <w:sz w:val="18"/>
                <w:szCs w:val="18"/>
              </w:rPr>
              <w:t>Silver</w:t>
            </w:r>
          </w:p>
        </w:tc>
        <w:tc>
          <w:tcPr>
            <w:tcW w:w="1305" w:type="dxa"/>
            <w:tcBorders>
              <w:left w:val="single" w:sz="12" w:space="0" w:color="auto"/>
              <w:right w:val="single" w:sz="12" w:space="0" w:color="auto"/>
            </w:tcBorders>
          </w:tcPr>
          <w:p w14:paraId="2D38677E" w14:textId="77777777" w:rsidR="00D55DC0" w:rsidRPr="00D55DC0" w:rsidRDefault="00D55DC0" w:rsidP="619EA3ED">
            <w:pPr>
              <w:spacing w:before="60"/>
              <w:jc w:val="center"/>
              <w:rPr>
                <w:i/>
                <w:iCs/>
                <w:sz w:val="18"/>
                <w:szCs w:val="18"/>
              </w:rPr>
            </w:pPr>
            <w:r w:rsidRPr="619EA3ED">
              <w:rPr>
                <w:i/>
                <w:iCs/>
                <w:sz w:val="18"/>
                <w:szCs w:val="18"/>
              </w:rPr>
              <w:t>N</w:t>
            </w:r>
          </w:p>
        </w:tc>
        <w:tc>
          <w:tcPr>
            <w:tcW w:w="1307" w:type="dxa"/>
            <w:tcBorders>
              <w:left w:val="single" w:sz="12" w:space="0" w:color="auto"/>
            </w:tcBorders>
          </w:tcPr>
          <w:p w14:paraId="67E72244" w14:textId="77777777" w:rsidR="00D55DC0" w:rsidRPr="0075078D" w:rsidRDefault="00D55DC0" w:rsidP="619EA3ED">
            <w:pPr>
              <w:spacing w:before="60"/>
              <w:jc w:val="center"/>
              <w:rPr>
                <w:sz w:val="18"/>
                <w:szCs w:val="18"/>
              </w:rPr>
            </w:pPr>
            <w:r w:rsidRPr="619EA3ED">
              <w:rPr>
                <w:sz w:val="18"/>
                <w:szCs w:val="18"/>
              </w:rPr>
              <w:t>3</w:t>
            </w:r>
          </w:p>
        </w:tc>
        <w:tc>
          <w:tcPr>
            <w:tcW w:w="1798" w:type="dxa"/>
          </w:tcPr>
          <w:p w14:paraId="291A6E36" w14:textId="77777777" w:rsidR="00D55DC0" w:rsidRPr="0075078D" w:rsidRDefault="00D55DC0" w:rsidP="619EA3ED">
            <w:pPr>
              <w:spacing w:before="60"/>
              <w:jc w:val="center"/>
              <w:rPr>
                <w:sz w:val="18"/>
                <w:szCs w:val="18"/>
              </w:rPr>
            </w:pPr>
            <w:r w:rsidRPr="619EA3ED">
              <w:rPr>
                <w:sz w:val="18"/>
                <w:szCs w:val="18"/>
              </w:rPr>
              <w:t>3</w:t>
            </w:r>
          </w:p>
        </w:tc>
        <w:tc>
          <w:tcPr>
            <w:tcW w:w="1921" w:type="dxa"/>
            <w:tcBorders>
              <w:right w:val="single" w:sz="12" w:space="0" w:color="auto"/>
            </w:tcBorders>
          </w:tcPr>
          <w:p w14:paraId="7602C97B" w14:textId="77777777" w:rsidR="00D55DC0" w:rsidRPr="0075078D" w:rsidRDefault="00D55DC0" w:rsidP="619EA3ED">
            <w:pPr>
              <w:spacing w:before="60"/>
              <w:jc w:val="center"/>
              <w:rPr>
                <w:sz w:val="18"/>
                <w:szCs w:val="18"/>
              </w:rPr>
            </w:pPr>
            <w:r w:rsidRPr="619EA3ED">
              <w:rPr>
                <w:sz w:val="18"/>
                <w:szCs w:val="18"/>
              </w:rPr>
              <w:t>1</w:t>
            </w:r>
          </w:p>
        </w:tc>
        <w:tc>
          <w:tcPr>
            <w:tcW w:w="1125" w:type="dxa"/>
            <w:tcBorders>
              <w:left w:val="single" w:sz="12" w:space="0" w:color="auto"/>
              <w:right w:val="single" w:sz="12" w:space="0" w:color="auto"/>
            </w:tcBorders>
          </w:tcPr>
          <w:p w14:paraId="63F878E7" w14:textId="77777777" w:rsidR="00D55DC0" w:rsidRPr="00D55DC0" w:rsidRDefault="00D55DC0" w:rsidP="619EA3ED">
            <w:pPr>
              <w:spacing w:before="60"/>
              <w:jc w:val="center"/>
              <w:rPr>
                <w:sz w:val="18"/>
                <w:szCs w:val="18"/>
              </w:rPr>
            </w:pPr>
            <w:r w:rsidRPr="619EA3ED">
              <w:rPr>
                <w:sz w:val="18"/>
                <w:szCs w:val="18"/>
              </w:rPr>
              <w:t>67</w:t>
            </w:r>
          </w:p>
        </w:tc>
      </w:tr>
      <w:tr w:rsidR="00D55DC0" w:rsidRPr="0075078D" w14:paraId="20F1DABD" w14:textId="77777777" w:rsidTr="619EA3ED">
        <w:trPr>
          <w:trHeight w:val="165"/>
          <w:jc w:val="center"/>
        </w:trPr>
        <w:tc>
          <w:tcPr>
            <w:tcW w:w="1080" w:type="dxa"/>
            <w:vMerge/>
          </w:tcPr>
          <w:p w14:paraId="03469786" w14:textId="77777777" w:rsidR="00D55DC0" w:rsidRPr="0075078D" w:rsidRDefault="00D55DC0" w:rsidP="00A158CE">
            <w:pPr>
              <w:spacing w:before="60" w:after="60"/>
              <w:jc w:val="both"/>
              <w:rPr>
                <w:b/>
                <w:sz w:val="18"/>
                <w:szCs w:val="18"/>
              </w:rPr>
            </w:pPr>
          </w:p>
        </w:tc>
        <w:tc>
          <w:tcPr>
            <w:tcW w:w="1305" w:type="dxa"/>
            <w:tcBorders>
              <w:left w:val="single" w:sz="12" w:space="0" w:color="auto"/>
              <w:right w:val="single" w:sz="12" w:space="0" w:color="auto"/>
            </w:tcBorders>
          </w:tcPr>
          <w:p w14:paraId="462FA866" w14:textId="77777777" w:rsidR="00D55DC0" w:rsidRPr="00D55DC0" w:rsidRDefault="00D55DC0" w:rsidP="619EA3ED">
            <w:pPr>
              <w:spacing w:after="60"/>
              <w:jc w:val="center"/>
              <w:rPr>
                <w:i/>
                <w:iCs/>
                <w:sz w:val="18"/>
                <w:szCs w:val="18"/>
              </w:rPr>
            </w:pPr>
            <w:r w:rsidRPr="619EA3ED">
              <w:rPr>
                <w:i/>
                <w:iCs/>
                <w:sz w:val="18"/>
                <w:szCs w:val="18"/>
              </w:rPr>
              <w:t>%</w:t>
            </w:r>
          </w:p>
        </w:tc>
        <w:tc>
          <w:tcPr>
            <w:tcW w:w="1307" w:type="dxa"/>
            <w:tcBorders>
              <w:left w:val="single" w:sz="12" w:space="0" w:color="auto"/>
            </w:tcBorders>
          </w:tcPr>
          <w:p w14:paraId="2D5C3E27" w14:textId="77777777" w:rsidR="00D55DC0" w:rsidRPr="00D55DC0" w:rsidRDefault="00D55DC0" w:rsidP="619EA3ED">
            <w:pPr>
              <w:spacing w:after="60"/>
              <w:jc w:val="center"/>
              <w:rPr>
                <w:sz w:val="18"/>
                <w:szCs w:val="18"/>
              </w:rPr>
            </w:pPr>
            <w:r w:rsidRPr="619EA3ED">
              <w:rPr>
                <w:sz w:val="18"/>
                <w:szCs w:val="18"/>
              </w:rPr>
              <w:t>4.5</w:t>
            </w:r>
          </w:p>
        </w:tc>
        <w:tc>
          <w:tcPr>
            <w:tcW w:w="1798" w:type="dxa"/>
          </w:tcPr>
          <w:p w14:paraId="46C93AA1" w14:textId="77777777" w:rsidR="00D55DC0" w:rsidRPr="00D55DC0" w:rsidRDefault="00D55DC0" w:rsidP="619EA3ED">
            <w:pPr>
              <w:spacing w:after="60"/>
              <w:jc w:val="center"/>
              <w:rPr>
                <w:sz w:val="18"/>
                <w:szCs w:val="18"/>
              </w:rPr>
            </w:pPr>
            <w:r w:rsidRPr="619EA3ED">
              <w:rPr>
                <w:sz w:val="18"/>
                <w:szCs w:val="18"/>
              </w:rPr>
              <w:t>4.5</w:t>
            </w:r>
          </w:p>
        </w:tc>
        <w:tc>
          <w:tcPr>
            <w:tcW w:w="1921" w:type="dxa"/>
            <w:tcBorders>
              <w:right w:val="single" w:sz="12" w:space="0" w:color="auto"/>
            </w:tcBorders>
          </w:tcPr>
          <w:p w14:paraId="30DB11E0" w14:textId="77777777" w:rsidR="00D55DC0" w:rsidRPr="00D55DC0" w:rsidRDefault="00D55DC0" w:rsidP="619EA3ED">
            <w:pPr>
              <w:spacing w:after="60"/>
              <w:jc w:val="center"/>
              <w:rPr>
                <w:sz w:val="18"/>
                <w:szCs w:val="18"/>
              </w:rPr>
            </w:pPr>
            <w:r w:rsidRPr="619EA3ED">
              <w:rPr>
                <w:sz w:val="18"/>
                <w:szCs w:val="18"/>
              </w:rPr>
              <w:t>1.5</w:t>
            </w:r>
          </w:p>
        </w:tc>
        <w:tc>
          <w:tcPr>
            <w:tcW w:w="1125" w:type="dxa"/>
            <w:tcBorders>
              <w:left w:val="single" w:sz="12" w:space="0" w:color="auto"/>
              <w:right w:val="single" w:sz="12" w:space="0" w:color="auto"/>
            </w:tcBorders>
          </w:tcPr>
          <w:p w14:paraId="5F497A9E" w14:textId="77777777" w:rsidR="00D55DC0" w:rsidRPr="00D55DC0" w:rsidRDefault="00D55DC0" w:rsidP="619EA3ED">
            <w:pPr>
              <w:spacing w:after="60"/>
              <w:jc w:val="center"/>
              <w:rPr>
                <w:sz w:val="18"/>
                <w:szCs w:val="18"/>
              </w:rPr>
            </w:pPr>
            <w:r w:rsidRPr="619EA3ED">
              <w:rPr>
                <w:sz w:val="18"/>
                <w:szCs w:val="18"/>
              </w:rPr>
              <w:t>52.4</w:t>
            </w:r>
          </w:p>
        </w:tc>
      </w:tr>
      <w:tr w:rsidR="00D55DC0" w:rsidRPr="0075078D" w14:paraId="772B2C3D" w14:textId="77777777" w:rsidTr="619EA3ED">
        <w:trPr>
          <w:trHeight w:val="165"/>
          <w:jc w:val="center"/>
        </w:trPr>
        <w:tc>
          <w:tcPr>
            <w:tcW w:w="1080" w:type="dxa"/>
            <w:vMerge w:val="restart"/>
            <w:tcBorders>
              <w:left w:val="single" w:sz="12" w:space="0" w:color="auto"/>
              <w:right w:val="single" w:sz="12" w:space="0" w:color="auto"/>
            </w:tcBorders>
          </w:tcPr>
          <w:p w14:paraId="7961483E" w14:textId="77777777" w:rsidR="00D55DC0" w:rsidRPr="0075078D" w:rsidRDefault="00D55DC0" w:rsidP="00A158CE">
            <w:pPr>
              <w:spacing w:before="60" w:after="60"/>
              <w:jc w:val="both"/>
              <w:rPr>
                <w:b/>
                <w:sz w:val="18"/>
                <w:szCs w:val="18"/>
              </w:rPr>
            </w:pPr>
            <w:r w:rsidRPr="0075078D">
              <w:rPr>
                <w:b/>
                <w:sz w:val="18"/>
                <w:szCs w:val="18"/>
              </w:rPr>
              <w:t>Bronze</w:t>
            </w:r>
          </w:p>
        </w:tc>
        <w:tc>
          <w:tcPr>
            <w:tcW w:w="1305" w:type="dxa"/>
            <w:tcBorders>
              <w:left w:val="single" w:sz="12" w:space="0" w:color="auto"/>
              <w:right w:val="single" w:sz="12" w:space="0" w:color="auto"/>
            </w:tcBorders>
          </w:tcPr>
          <w:p w14:paraId="241D6C95" w14:textId="77777777" w:rsidR="00D55DC0" w:rsidRPr="00D55DC0" w:rsidRDefault="00D55DC0" w:rsidP="619EA3ED">
            <w:pPr>
              <w:spacing w:before="60"/>
              <w:jc w:val="center"/>
              <w:rPr>
                <w:i/>
                <w:iCs/>
                <w:sz w:val="18"/>
                <w:szCs w:val="18"/>
              </w:rPr>
            </w:pPr>
            <w:r w:rsidRPr="619EA3ED">
              <w:rPr>
                <w:i/>
                <w:iCs/>
                <w:sz w:val="18"/>
                <w:szCs w:val="18"/>
              </w:rPr>
              <w:t>N</w:t>
            </w:r>
          </w:p>
        </w:tc>
        <w:tc>
          <w:tcPr>
            <w:tcW w:w="1307" w:type="dxa"/>
            <w:tcBorders>
              <w:left w:val="single" w:sz="12" w:space="0" w:color="auto"/>
            </w:tcBorders>
          </w:tcPr>
          <w:p w14:paraId="17DB65ED" w14:textId="77777777" w:rsidR="00D55DC0" w:rsidRPr="00D55DC0" w:rsidRDefault="00D55DC0" w:rsidP="619EA3ED">
            <w:pPr>
              <w:spacing w:before="60"/>
              <w:jc w:val="center"/>
              <w:rPr>
                <w:sz w:val="18"/>
                <w:szCs w:val="18"/>
              </w:rPr>
            </w:pPr>
            <w:r w:rsidRPr="619EA3ED">
              <w:rPr>
                <w:sz w:val="18"/>
                <w:szCs w:val="18"/>
              </w:rPr>
              <w:t>0</w:t>
            </w:r>
          </w:p>
        </w:tc>
        <w:tc>
          <w:tcPr>
            <w:tcW w:w="1798" w:type="dxa"/>
          </w:tcPr>
          <w:p w14:paraId="56E1E7C0" w14:textId="77777777" w:rsidR="00D55DC0" w:rsidRPr="00D55DC0" w:rsidRDefault="00D55DC0" w:rsidP="619EA3ED">
            <w:pPr>
              <w:spacing w:before="60"/>
              <w:jc w:val="center"/>
              <w:rPr>
                <w:sz w:val="18"/>
                <w:szCs w:val="18"/>
              </w:rPr>
            </w:pPr>
            <w:r w:rsidRPr="619EA3ED">
              <w:rPr>
                <w:sz w:val="18"/>
                <w:szCs w:val="18"/>
              </w:rPr>
              <w:t>1</w:t>
            </w:r>
          </w:p>
        </w:tc>
        <w:tc>
          <w:tcPr>
            <w:tcW w:w="1921" w:type="dxa"/>
            <w:tcBorders>
              <w:right w:val="single" w:sz="12" w:space="0" w:color="auto"/>
            </w:tcBorders>
          </w:tcPr>
          <w:p w14:paraId="3384827F" w14:textId="77777777" w:rsidR="00D55DC0" w:rsidRPr="00D55DC0" w:rsidRDefault="00D55DC0" w:rsidP="619EA3ED">
            <w:pPr>
              <w:spacing w:before="60"/>
              <w:jc w:val="center"/>
              <w:rPr>
                <w:sz w:val="18"/>
                <w:szCs w:val="18"/>
              </w:rPr>
            </w:pPr>
            <w:r w:rsidRPr="619EA3ED">
              <w:rPr>
                <w:sz w:val="18"/>
                <w:szCs w:val="18"/>
              </w:rPr>
              <w:t>0</w:t>
            </w:r>
          </w:p>
        </w:tc>
        <w:tc>
          <w:tcPr>
            <w:tcW w:w="1125" w:type="dxa"/>
            <w:tcBorders>
              <w:left w:val="single" w:sz="12" w:space="0" w:color="auto"/>
              <w:right w:val="single" w:sz="12" w:space="0" w:color="auto"/>
            </w:tcBorders>
          </w:tcPr>
          <w:p w14:paraId="7D8F227E" w14:textId="77777777" w:rsidR="00D55DC0" w:rsidRPr="00D55DC0" w:rsidRDefault="00D55DC0" w:rsidP="619EA3ED">
            <w:pPr>
              <w:spacing w:before="60"/>
              <w:jc w:val="center"/>
              <w:rPr>
                <w:sz w:val="18"/>
                <w:szCs w:val="18"/>
              </w:rPr>
            </w:pPr>
            <w:r w:rsidRPr="619EA3ED">
              <w:rPr>
                <w:sz w:val="18"/>
                <w:szCs w:val="18"/>
              </w:rPr>
              <w:t>14</w:t>
            </w:r>
          </w:p>
        </w:tc>
      </w:tr>
      <w:tr w:rsidR="00D55DC0" w:rsidRPr="0075078D" w14:paraId="2F9D6820" w14:textId="77777777" w:rsidTr="619EA3ED">
        <w:trPr>
          <w:trHeight w:val="165"/>
          <w:jc w:val="center"/>
        </w:trPr>
        <w:tc>
          <w:tcPr>
            <w:tcW w:w="1080" w:type="dxa"/>
            <w:vMerge/>
          </w:tcPr>
          <w:p w14:paraId="4E4D12BA" w14:textId="77777777" w:rsidR="00D55DC0" w:rsidRPr="0075078D" w:rsidRDefault="00D55DC0" w:rsidP="00A158CE">
            <w:pPr>
              <w:spacing w:before="60" w:after="60"/>
              <w:jc w:val="both"/>
              <w:rPr>
                <w:b/>
                <w:sz w:val="18"/>
                <w:szCs w:val="18"/>
              </w:rPr>
            </w:pPr>
          </w:p>
        </w:tc>
        <w:tc>
          <w:tcPr>
            <w:tcW w:w="1305" w:type="dxa"/>
            <w:tcBorders>
              <w:left w:val="single" w:sz="12" w:space="0" w:color="auto"/>
              <w:bottom w:val="single" w:sz="12" w:space="0" w:color="auto"/>
              <w:right w:val="single" w:sz="12" w:space="0" w:color="auto"/>
            </w:tcBorders>
          </w:tcPr>
          <w:p w14:paraId="7DD43911" w14:textId="77777777" w:rsidR="00D55DC0" w:rsidRPr="00D55DC0" w:rsidRDefault="00D55DC0" w:rsidP="619EA3ED">
            <w:pPr>
              <w:spacing w:after="60"/>
              <w:jc w:val="center"/>
              <w:rPr>
                <w:i/>
                <w:iCs/>
                <w:sz w:val="18"/>
                <w:szCs w:val="18"/>
              </w:rPr>
            </w:pPr>
            <w:r w:rsidRPr="619EA3ED">
              <w:rPr>
                <w:i/>
                <w:iCs/>
                <w:sz w:val="18"/>
                <w:szCs w:val="18"/>
              </w:rPr>
              <w:t>%</w:t>
            </w:r>
          </w:p>
        </w:tc>
        <w:tc>
          <w:tcPr>
            <w:tcW w:w="1307" w:type="dxa"/>
            <w:tcBorders>
              <w:left w:val="single" w:sz="12" w:space="0" w:color="auto"/>
              <w:bottom w:val="single" w:sz="12" w:space="0" w:color="auto"/>
            </w:tcBorders>
          </w:tcPr>
          <w:p w14:paraId="519E36AA" w14:textId="77777777" w:rsidR="00D55DC0" w:rsidRPr="0075078D" w:rsidRDefault="00D55DC0" w:rsidP="619EA3ED">
            <w:pPr>
              <w:spacing w:after="60"/>
              <w:jc w:val="center"/>
              <w:rPr>
                <w:sz w:val="18"/>
                <w:szCs w:val="18"/>
              </w:rPr>
            </w:pPr>
            <w:r w:rsidRPr="619EA3ED">
              <w:rPr>
                <w:sz w:val="18"/>
                <w:szCs w:val="18"/>
              </w:rPr>
              <w:t>0</w:t>
            </w:r>
          </w:p>
        </w:tc>
        <w:tc>
          <w:tcPr>
            <w:tcW w:w="1798" w:type="dxa"/>
            <w:tcBorders>
              <w:bottom w:val="single" w:sz="12" w:space="0" w:color="auto"/>
            </w:tcBorders>
          </w:tcPr>
          <w:p w14:paraId="3DA3EA67" w14:textId="77777777" w:rsidR="00D55DC0" w:rsidRPr="0075078D" w:rsidRDefault="00D55DC0" w:rsidP="619EA3ED">
            <w:pPr>
              <w:spacing w:after="60"/>
              <w:jc w:val="center"/>
              <w:rPr>
                <w:sz w:val="18"/>
                <w:szCs w:val="18"/>
              </w:rPr>
            </w:pPr>
            <w:r w:rsidRPr="619EA3ED">
              <w:rPr>
                <w:sz w:val="18"/>
                <w:szCs w:val="18"/>
              </w:rPr>
              <w:t>7.1</w:t>
            </w:r>
          </w:p>
        </w:tc>
        <w:tc>
          <w:tcPr>
            <w:tcW w:w="1921" w:type="dxa"/>
            <w:tcBorders>
              <w:bottom w:val="single" w:sz="12" w:space="0" w:color="auto"/>
              <w:right w:val="single" w:sz="12" w:space="0" w:color="auto"/>
            </w:tcBorders>
          </w:tcPr>
          <w:p w14:paraId="546458AB" w14:textId="77777777" w:rsidR="00D55DC0" w:rsidRPr="0075078D" w:rsidRDefault="00D55DC0" w:rsidP="619EA3ED">
            <w:pPr>
              <w:spacing w:after="60"/>
              <w:jc w:val="center"/>
              <w:rPr>
                <w:sz w:val="18"/>
                <w:szCs w:val="18"/>
              </w:rPr>
            </w:pPr>
            <w:r w:rsidRPr="619EA3ED">
              <w:rPr>
                <w:sz w:val="18"/>
                <w:szCs w:val="18"/>
              </w:rPr>
              <w:t>0</w:t>
            </w:r>
          </w:p>
        </w:tc>
        <w:tc>
          <w:tcPr>
            <w:tcW w:w="1125" w:type="dxa"/>
            <w:tcBorders>
              <w:left w:val="single" w:sz="12" w:space="0" w:color="auto"/>
              <w:bottom w:val="single" w:sz="12" w:space="0" w:color="auto"/>
              <w:right w:val="single" w:sz="12" w:space="0" w:color="auto"/>
            </w:tcBorders>
          </w:tcPr>
          <w:p w14:paraId="28AA7D80" w14:textId="77777777" w:rsidR="00D55DC0" w:rsidRPr="00D55DC0" w:rsidRDefault="00D55DC0" w:rsidP="619EA3ED">
            <w:pPr>
              <w:spacing w:after="60"/>
              <w:jc w:val="center"/>
              <w:rPr>
                <w:sz w:val="18"/>
                <w:szCs w:val="18"/>
              </w:rPr>
            </w:pPr>
            <w:r w:rsidRPr="619EA3ED">
              <w:rPr>
                <w:sz w:val="18"/>
                <w:szCs w:val="18"/>
              </w:rPr>
              <w:t>10.9</w:t>
            </w:r>
          </w:p>
        </w:tc>
      </w:tr>
      <w:tr w:rsidR="00D55DC0" w:rsidRPr="0075078D" w14:paraId="61CC3D00" w14:textId="77777777" w:rsidTr="619EA3ED">
        <w:trPr>
          <w:trHeight w:val="165"/>
          <w:jc w:val="center"/>
        </w:trPr>
        <w:tc>
          <w:tcPr>
            <w:tcW w:w="1080" w:type="dxa"/>
            <w:vMerge w:val="restart"/>
            <w:tcBorders>
              <w:top w:val="single" w:sz="12" w:space="0" w:color="auto"/>
              <w:left w:val="single" w:sz="12" w:space="0" w:color="auto"/>
              <w:right w:val="single" w:sz="12" w:space="0" w:color="auto"/>
            </w:tcBorders>
          </w:tcPr>
          <w:p w14:paraId="44B0582F" w14:textId="77777777" w:rsidR="00D55DC0" w:rsidRPr="0075078D" w:rsidRDefault="00D55DC0" w:rsidP="00A158CE">
            <w:pPr>
              <w:spacing w:before="60" w:after="60"/>
              <w:jc w:val="both"/>
              <w:rPr>
                <w:b/>
                <w:sz w:val="18"/>
                <w:szCs w:val="18"/>
              </w:rPr>
            </w:pPr>
            <w:r>
              <w:rPr>
                <w:b/>
                <w:sz w:val="18"/>
                <w:szCs w:val="18"/>
              </w:rPr>
              <w:t>Total</w:t>
            </w:r>
          </w:p>
        </w:tc>
        <w:tc>
          <w:tcPr>
            <w:tcW w:w="1305" w:type="dxa"/>
            <w:tcBorders>
              <w:top w:val="single" w:sz="12" w:space="0" w:color="auto"/>
              <w:left w:val="single" w:sz="12" w:space="0" w:color="auto"/>
              <w:right w:val="single" w:sz="12" w:space="0" w:color="auto"/>
            </w:tcBorders>
          </w:tcPr>
          <w:p w14:paraId="3C33E4A2" w14:textId="77777777" w:rsidR="00D55DC0" w:rsidRPr="00D55DC0" w:rsidRDefault="00D55DC0" w:rsidP="619EA3ED">
            <w:pPr>
              <w:spacing w:before="60"/>
              <w:jc w:val="center"/>
              <w:rPr>
                <w:b/>
                <w:bCs/>
                <w:i/>
                <w:iCs/>
                <w:sz w:val="18"/>
                <w:szCs w:val="18"/>
              </w:rPr>
            </w:pPr>
            <w:r w:rsidRPr="619EA3ED">
              <w:rPr>
                <w:b/>
                <w:bCs/>
                <w:i/>
                <w:iCs/>
                <w:sz w:val="18"/>
                <w:szCs w:val="18"/>
              </w:rPr>
              <w:t>N</w:t>
            </w:r>
          </w:p>
        </w:tc>
        <w:tc>
          <w:tcPr>
            <w:tcW w:w="1307" w:type="dxa"/>
            <w:tcBorders>
              <w:top w:val="single" w:sz="12" w:space="0" w:color="auto"/>
              <w:left w:val="single" w:sz="12" w:space="0" w:color="auto"/>
            </w:tcBorders>
          </w:tcPr>
          <w:p w14:paraId="2DD6E15C" w14:textId="77777777" w:rsidR="00D55DC0" w:rsidRPr="00D55DC0" w:rsidRDefault="00D55DC0" w:rsidP="619EA3ED">
            <w:pPr>
              <w:spacing w:before="60"/>
              <w:jc w:val="center"/>
              <w:rPr>
                <w:sz w:val="18"/>
                <w:szCs w:val="18"/>
              </w:rPr>
            </w:pPr>
            <w:r w:rsidRPr="619EA3ED">
              <w:rPr>
                <w:sz w:val="18"/>
                <w:szCs w:val="18"/>
              </w:rPr>
              <w:t>9</w:t>
            </w:r>
          </w:p>
        </w:tc>
        <w:tc>
          <w:tcPr>
            <w:tcW w:w="1798" w:type="dxa"/>
            <w:tcBorders>
              <w:top w:val="single" w:sz="12" w:space="0" w:color="auto"/>
            </w:tcBorders>
          </w:tcPr>
          <w:p w14:paraId="27905D57" w14:textId="77777777" w:rsidR="00D55DC0" w:rsidRPr="00D55DC0" w:rsidRDefault="00D55DC0" w:rsidP="619EA3ED">
            <w:pPr>
              <w:spacing w:before="60"/>
              <w:jc w:val="center"/>
              <w:rPr>
                <w:sz w:val="18"/>
                <w:szCs w:val="18"/>
              </w:rPr>
            </w:pPr>
            <w:r w:rsidRPr="619EA3ED">
              <w:rPr>
                <w:sz w:val="18"/>
                <w:szCs w:val="18"/>
              </w:rPr>
              <w:t>10</w:t>
            </w:r>
          </w:p>
        </w:tc>
        <w:tc>
          <w:tcPr>
            <w:tcW w:w="1921" w:type="dxa"/>
            <w:tcBorders>
              <w:top w:val="single" w:sz="12" w:space="0" w:color="auto"/>
              <w:right w:val="single" w:sz="12" w:space="0" w:color="auto"/>
            </w:tcBorders>
          </w:tcPr>
          <w:p w14:paraId="6859A10E" w14:textId="77777777" w:rsidR="00D55DC0" w:rsidRPr="00D55DC0" w:rsidRDefault="00D55DC0" w:rsidP="619EA3ED">
            <w:pPr>
              <w:spacing w:before="60"/>
              <w:jc w:val="center"/>
              <w:rPr>
                <w:sz w:val="18"/>
                <w:szCs w:val="18"/>
              </w:rPr>
            </w:pPr>
            <w:r w:rsidRPr="619EA3ED">
              <w:rPr>
                <w:sz w:val="18"/>
                <w:szCs w:val="18"/>
              </w:rPr>
              <w:t>1</w:t>
            </w:r>
          </w:p>
        </w:tc>
        <w:tc>
          <w:tcPr>
            <w:tcW w:w="1125" w:type="dxa"/>
            <w:tcBorders>
              <w:top w:val="single" w:sz="12" w:space="0" w:color="auto"/>
              <w:left w:val="single" w:sz="12" w:space="0" w:color="auto"/>
              <w:right w:val="single" w:sz="12" w:space="0" w:color="auto"/>
            </w:tcBorders>
          </w:tcPr>
          <w:p w14:paraId="518476BE" w14:textId="77777777" w:rsidR="00D55DC0" w:rsidRPr="00D55DC0" w:rsidRDefault="00D55DC0" w:rsidP="619EA3ED">
            <w:pPr>
              <w:spacing w:before="60"/>
              <w:jc w:val="center"/>
              <w:rPr>
                <w:sz w:val="18"/>
                <w:szCs w:val="18"/>
              </w:rPr>
            </w:pPr>
            <w:r w:rsidRPr="619EA3ED">
              <w:rPr>
                <w:sz w:val="18"/>
                <w:szCs w:val="18"/>
              </w:rPr>
              <w:t>128</w:t>
            </w:r>
          </w:p>
        </w:tc>
      </w:tr>
      <w:tr w:rsidR="00D55DC0" w:rsidRPr="0075078D" w14:paraId="2E6361B1" w14:textId="77777777" w:rsidTr="619EA3ED">
        <w:trPr>
          <w:trHeight w:val="165"/>
          <w:jc w:val="center"/>
        </w:trPr>
        <w:tc>
          <w:tcPr>
            <w:tcW w:w="1080" w:type="dxa"/>
            <w:vMerge/>
          </w:tcPr>
          <w:p w14:paraId="734D0B01" w14:textId="77777777" w:rsidR="00D55DC0" w:rsidRDefault="00D55DC0" w:rsidP="00A158CE">
            <w:pPr>
              <w:spacing w:before="60" w:after="60"/>
              <w:jc w:val="both"/>
              <w:rPr>
                <w:b/>
                <w:sz w:val="18"/>
                <w:szCs w:val="18"/>
              </w:rPr>
            </w:pPr>
          </w:p>
        </w:tc>
        <w:tc>
          <w:tcPr>
            <w:tcW w:w="1305" w:type="dxa"/>
            <w:tcBorders>
              <w:left w:val="single" w:sz="12" w:space="0" w:color="auto"/>
              <w:bottom w:val="single" w:sz="12" w:space="0" w:color="auto"/>
              <w:right w:val="single" w:sz="12" w:space="0" w:color="auto"/>
            </w:tcBorders>
          </w:tcPr>
          <w:p w14:paraId="6DAC15AE" w14:textId="77777777" w:rsidR="00D55DC0" w:rsidRPr="00D55DC0" w:rsidRDefault="00D55DC0" w:rsidP="619EA3ED">
            <w:pPr>
              <w:spacing w:after="60"/>
              <w:jc w:val="center"/>
              <w:rPr>
                <w:b/>
                <w:bCs/>
                <w:i/>
                <w:iCs/>
                <w:sz w:val="18"/>
                <w:szCs w:val="18"/>
              </w:rPr>
            </w:pPr>
            <w:r w:rsidRPr="619EA3ED">
              <w:rPr>
                <w:b/>
                <w:bCs/>
                <w:i/>
                <w:iCs/>
                <w:sz w:val="18"/>
                <w:szCs w:val="18"/>
              </w:rPr>
              <w:t>%</w:t>
            </w:r>
          </w:p>
        </w:tc>
        <w:tc>
          <w:tcPr>
            <w:tcW w:w="1307" w:type="dxa"/>
            <w:tcBorders>
              <w:left w:val="single" w:sz="12" w:space="0" w:color="auto"/>
              <w:bottom w:val="single" w:sz="12" w:space="0" w:color="auto"/>
            </w:tcBorders>
          </w:tcPr>
          <w:p w14:paraId="7DC898D6" w14:textId="77777777" w:rsidR="00D55DC0" w:rsidRPr="00D55DC0" w:rsidRDefault="00D55DC0" w:rsidP="619EA3ED">
            <w:pPr>
              <w:spacing w:after="60"/>
              <w:jc w:val="center"/>
              <w:rPr>
                <w:sz w:val="18"/>
                <w:szCs w:val="18"/>
              </w:rPr>
            </w:pPr>
            <w:r w:rsidRPr="619EA3ED">
              <w:rPr>
                <w:sz w:val="18"/>
                <w:szCs w:val="18"/>
              </w:rPr>
              <w:t>7.0</w:t>
            </w:r>
          </w:p>
        </w:tc>
        <w:tc>
          <w:tcPr>
            <w:tcW w:w="1798" w:type="dxa"/>
            <w:tcBorders>
              <w:bottom w:val="single" w:sz="12" w:space="0" w:color="auto"/>
            </w:tcBorders>
          </w:tcPr>
          <w:p w14:paraId="139C47D9" w14:textId="77777777" w:rsidR="00D55DC0" w:rsidRPr="00D55DC0" w:rsidRDefault="00D55DC0" w:rsidP="619EA3ED">
            <w:pPr>
              <w:spacing w:after="60"/>
              <w:jc w:val="center"/>
              <w:rPr>
                <w:sz w:val="18"/>
                <w:szCs w:val="18"/>
              </w:rPr>
            </w:pPr>
            <w:r w:rsidRPr="619EA3ED">
              <w:rPr>
                <w:sz w:val="18"/>
                <w:szCs w:val="18"/>
              </w:rPr>
              <w:t>5.5</w:t>
            </w:r>
          </w:p>
        </w:tc>
        <w:tc>
          <w:tcPr>
            <w:tcW w:w="1921" w:type="dxa"/>
            <w:tcBorders>
              <w:bottom w:val="single" w:sz="12" w:space="0" w:color="auto"/>
              <w:right w:val="single" w:sz="12" w:space="0" w:color="auto"/>
            </w:tcBorders>
          </w:tcPr>
          <w:p w14:paraId="6D7D1E48" w14:textId="77777777" w:rsidR="00D55DC0" w:rsidRPr="00D55DC0" w:rsidRDefault="00D55DC0" w:rsidP="619EA3ED">
            <w:pPr>
              <w:spacing w:after="60"/>
              <w:jc w:val="center"/>
              <w:rPr>
                <w:sz w:val="18"/>
                <w:szCs w:val="18"/>
              </w:rPr>
            </w:pPr>
            <w:r w:rsidRPr="619EA3ED">
              <w:rPr>
                <w:sz w:val="18"/>
                <w:szCs w:val="18"/>
              </w:rPr>
              <w:t>0.8</w:t>
            </w:r>
          </w:p>
        </w:tc>
        <w:tc>
          <w:tcPr>
            <w:tcW w:w="1125" w:type="dxa"/>
            <w:tcBorders>
              <w:left w:val="single" w:sz="12" w:space="0" w:color="auto"/>
              <w:bottom w:val="single" w:sz="12" w:space="0" w:color="auto"/>
              <w:right w:val="single" w:sz="12" w:space="0" w:color="auto"/>
            </w:tcBorders>
          </w:tcPr>
          <w:p w14:paraId="73FF90D0" w14:textId="77777777" w:rsidR="00D55DC0" w:rsidRPr="00D55DC0" w:rsidRDefault="00D55DC0" w:rsidP="619EA3ED">
            <w:pPr>
              <w:spacing w:after="60"/>
              <w:jc w:val="center"/>
              <w:rPr>
                <w:sz w:val="18"/>
                <w:szCs w:val="18"/>
              </w:rPr>
            </w:pPr>
            <w:r w:rsidRPr="619EA3ED">
              <w:rPr>
                <w:sz w:val="18"/>
                <w:szCs w:val="18"/>
              </w:rPr>
              <w:t>100.0</w:t>
            </w:r>
          </w:p>
        </w:tc>
      </w:tr>
    </w:tbl>
    <w:p w14:paraId="35A78CF5" w14:textId="77777777" w:rsidR="00D55DC0" w:rsidRDefault="00D55DC0" w:rsidP="00A158CE">
      <w:pPr>
        <w:jc w:val="both"/>
      </w:pPr>
    </w:p>
    <w:p w14:paraId="77D75BAE" w14:textId="77777777" w:rsidR="00D55DC0" w:rsidRDefault="00970897" w:rsidP="00A158CE">
      <w:pPr>
        <w:jc w:val="both"/>
      </w:pPr>
      <w:r>
        <w:t>Results narratives used fewer enterprise-related words</w:t>
      </w:r>
      <w:r w:rsidR="00D55DC0">
        <w:t xml:space="preserve"> than university submissions (see Table 2) with ‘enterprise’ appearing more often than ‘entrepreneurship’ at higher levels of award.</w:t>
      </w:r>
      <w:r>
        <w:t xml:space="preserve"> </w:t>
      </w:r>
    </w:p>
    <w:p w14:paraId="1BE529C2" w14:textId="77777777" w:rsidR="00D55DC0" w:rsidRDefault="00D55DC0" w:rsidP="00A158CE">
      <w:pPr>
        <w:jc w:val="both"/>
      </w:pPr>
    </w:p>
    <w:p w14:paraId="417FC195" w14:textId="77777777" w:rsidR="00D55DC0" w:rsidRDefault="00970897" w:rsidP="00A158CE">
      <w:pPr>
        <w:jc w:val="both"/>
      </w:pPr>
      <w:r>
        <w:t xml:space="preserve">Initial analysis suggests that </w:t>
      </w:r>
      <w:r w:rsidR="00D55DC0">
        <w:t>use of the words in results narratives</w:t>
      </w:r>
      <w:r>
        <w:t xml:space="preserve"> reflects the detail and ‘embeddedness’ of the activity described in the</w:t>
      </w:r>
      <w:r w:rsidR="00D55DC0">
        <w:t xml:space="preserve"> university submissions. Mention of enterprise-related </w:t>
      </w:r>
      <w:r w:rsidR="00D55DC0">
        <w:lastRenderedPageBreak/>
        <w:t xml:space="preserve">activity </w:t>
      </w:r>
      <w:r w:rsidR="00C43D8B">
        <w:t xml:space="preserve">only </w:t>
      </w:r>
      <w:r w:rsidR="00D55DC0">
        <w:t xml:space="preserve">appears to be made </w:t>
      </w:r>
      <w:r w:rsidR="00C43D8B">
        <w:t xml:space="preserve">by reviewers </w:t>
      </w:r>
      <w:r w:rsidR="00D55DC0">
        <w:t>where there is strong evidence that this is a sustained and strategic part the university’s education activity. This provides early-stage evidence for the hypothesis that active engagement and explicit articulation of enterprise-related work has an impact in terms of level of TEF award gained.  F</w:t>
      </w:r>
      <w:r>
        <w:t>urther analysis is needed to con</w:t>
      </w:r>
      <w:r w:rsidR="00D55DC0">
        <w:t>firm and elaborate.</w:t>
      </w:r>
    </w:p>
    <w:p w14:paraId="6B64D56E" w14:textId="77777777" w:rsidR="00970897" w:rsidRDefault="00970897" w:rsidP="00A158CE">
      <w:pPr>
        <w:jc w:val="both"/>
      </w:pPr>
    </w:p>
    <w:p w14:paraId="165CCF9B" w14:textId="77777777" w:rsidR="00970897" w:rsidRDefault="00970897" w:rsidP="00A158CE">
      <w:pPr>
        <w:pStyle w:val="Style3"/>
        <w:numPr>
          <w:ilvl w:val="1"/>
          <w:numId w:val="4"/>
        </w:numPr>
        <w:ind w:left="426" w:hanging="426"/>
        <w:jc w:val="both"/>
      </w:pPr>
      <w:bookmarkStart w:id="6" w:name="_Toc45203629"/>
      <w:r>
        <w:t>How this information has been used</w:t>
      </w:r>
      <w:bookmarkEnd w:id="6"/>
    </w:p>
    <w:p w14:paraId="01951D7E" w14:textId="77777777" w:rsidR="00970897" w:rsidRDefault="00970897" w:rsidP="00A158CE">
      <w:pPr>
        <w:jc w:val="both"/>
      </w:pPr>
    </w:p>
    <w:p w14:paraId="38B62088" w14:textId="3E493A40" w:rsidR="005059A8" w:rsidRDefault="00E67F8D" w:rsidP="00A158CE">
      <w:pPr>
        <w:jc w:val="both"/>
      </w:pPr>
      <w:r>
        <w:t>The initial results have been used to inform a question in the</w:t>
      </w:r>
      <w:r w:rsidR="00970897" w:rsidRPr="00970897">
        <w:t xml:space="preserve"> Delphi study</w:t>
      </w:r>
      <w:r>
        <w:t xml:space="preserve"> about</w:t>
      </w:r>
      <w:r w:rsidR="00970897" w:rsidRPr="00970897">
        <w:t xml:space="preserve"> how the results of impact evaluation</w:t>
      </w:r>
      <w:r w:rsidR="000A7044">
        <w:t xml:space="preserve"> is</w:t>
      </w:r>
      <w:r w:rsidR="00970897" w:rsidRPr="00970897">
        <w:t xml:space="preserve"> currently used</w:t>
      </w:r>
      <w:r>
        <w:t>, for example, to report to Senior Managers (who might be in a position to influence future TEF submissions)</w:t>
      </w:r>
      <w:r w:rsidR="00970897" w:rsidRPr="00970897">
        <w:t>.</w:t>
      </w:r>
    </w:p>
    <w:p w14:paraId="4175B277" w14:textId="77777777" w:rsidR="005059A8" w:rsidRDefault="005059A8" w:rsidP="00A158CE">
      <w:pPr>
        <w:jc w:val="both"/>
      </w:pPr>
    </w:p>
    <w:p w14:paraId="40412A12" w14:textId="77777777" w:rsidR="00E67F8D" w:rsidRDefault="00E67F8D" w:rsidP="00A158CE">
      <w:pPr>
        <w:pStyle w:val="Style3"/>
        <w:numPr>
          <w:ilvl w:val="1"/>
          <w:numId w:val="4"/>
        </w:numPr>
        <w:ind w:left="426" w:hanging="426"/>
        <w:jc w:val="both"/>
      </w:pPr>
      <w:bookmarkStart w:id="7" w:name="_Toc45203630"/>
      <w:r>
        <w:t>Next steps</w:t>
      </w:r>
      <w:bookmarkEnd w:id="7"/>
    </w:p>
    <w:p w14:paraId="1EF7B9C6" w14:textId="77777777" w:rsidR="00E67F8D" w:rsidRDefault="00E67F8D" w:rsidP="00A158CE">
      <w:pPr>
        <w:jc w:val="both"/>
      </w:pPr>
    </w:p>
    <w:p w14:paraId="209EB47A" w14:textId="6FEF1B32" w:rsidR="00AD3C86" w:rsidRDefault="00D55DC0" w:rsidP="00A158CE">
      <w:pPr>
        <w:pStyle w:val="ListParagraph"/>
        <w:numPr>
          <w:ilvl w:val="0"/>
          <w:numId w:val="20"/>
        </w:numPr>
        <w:jc w:val="both"/>
      </w:pPr>
      <w:r>
        <w:t xml:space="preserve">A further, more in-depth, </w:t>
      </w:r>
      <w:r w:rsidR="00AD3C86">
        <w:t>analysis is currently being conducted</w:t>
      </w:r>
      <w:r w:rsidR="00122375">
        <w:t>;</w:t>
      </w:r>
    </w:p>
    <w:p w14:paraId="037E741B" w14:textId="488597B6" w:rsidR="00D55DC0" w:rsidRDefault="00D55DC0" w:rsidP="00A158CE">
      <w:pPr>
        <w:pStyle w:val="ListParagraph"/>
        <w:numPr>
          <w:ilvl w:val="0"/>
          <w:numId w:val="20"/>
        </w:numPr>
        <w:jc w:val="both"/>
      </w:pPr>
      <w:r>
        <w:t>TEF enterprise-related results will be cross-referenced against Small Business Charter status as the latter award has a strong enterprise and entrepreneurship education focus</w:t>
      </w:r>
      <w:r w:rsidR="00122375">
        <w:t>; and</w:t>
      </w:r>
    </w:p>
    <w:p w14:paraId="2538E3BC" w14:textId="481A0E70" w:rsidR="00E67F8D" w:rsidRDefault="00AD3C86" w:rsidP="00A158CE">
      <w:pPr>
        <w:pStyle w:val="ListParagraph"/>
        <w:numPr>
          <w:ilvl w:val="0"/>
          <w:numId w:val="20"/>
        </w:numPr>
        <w:jc w:val="both"/>
      </w:pPr>
      <w:r>
        <w:t>The results of the analysis will be used for journal article submission</w:t>
      </w:r>
      <w:r w:rsidR="00D55DC0">
        <w:t>(</w:t>
      </w:r>
      <w:r>
        <w:t>s</w:t>
      </w:r>
      <w:r w:rsidR="00D55DC0">
        <w:t>)</w:t>
      </w:r>
      <w:r>
        <w:t xml:space="preserve"> that emerge from the study</w:t>
      </w:r>
      <w:r w:rsidR="00122375">
        <w:t>.</w:t>
      </w:r>
    </w:p>
    <w:p w14:paraId="25696189" w14:textId="6661C28C" w:rsidR="00DB02AF" w:rsidRDefault="00DB02AF" w:rsidP="00A158CE">
      <w:pPr>
        <w:jc w:val="both"/>
      </w:pPr>
    </w:p>
    <w:p w14:paraId="4F715DFC" w14:textId="4B388676" w:rsidR="005059A8" w:rsidRDefault="005059A8" w:rsidP="00A158CE">
      <w:pPr>
        <w:jc w:val="both"/>
      </w:pPr>
    </w:p>
    <w:p w14:paraId="528B331C" w14:textId="2A82AB67" w:rsidR="005059A8" w:rsidRDefault="005059A8" w:rsidP="00A158CE">
      <w:pPr>
        <w:jc w:val="both"/>
      </w:pPr>
    </w:p>
    <w:p w14:paraId="71F669C1" w14:textId="59D2D8AF" w:rsidR="005059A8" w:rsidRDefault="005059A8" w:rsidP="00A158CE">
      <w:pPr>
        <w:jc w:val="both"/>
      </w:pPr>
    </w:p>
    <w:p w14:paraId="08CFA1E5" w14:textId="64F1C180" w:rsidR="005059A8" w:rsidRDefault="005059A8" w:rsidP="00A158CE">
      <w:pPr>
        <w:jc w:val="both"/>
      </w:pPr>
    </w:p>
    <w:p w14:paraId="299928F0" w14:textId="445AF81B" w:rsidR="005059A8" w:rsidRDefault="005059A8" w:rsidP="00A158CE">
      <w:pPr>
        <w:jc w:val="both"/>
      </w:pPr>
    </w:p>
    <w:p w14:paraId="70ED0D4E" w14:textId="3A1A3A18" w:rsidR="005059A8" w:rsidRDefault="005059A8" w:rsidP="00A158CE">
      <w:pPr>
        <w:jc w:val="both"/>
      </w:pPr>
    </w:p>
    <w:p w14:paraId="1B336B62" w14:textId="3F724644" w:rsidR="005059A8" w:rsidRDefault="005059A8" w:rsidP="00A158CE">
      <w:pPr>
        <w:jc w:val="both"/>
      </w:pPr>
    </w:p>
    <w:p w14:paraId="1DFE6477" w14:textId="24FF37FA" w:rsidR="005059A8" w:rsidRDefault="005059A8" w:rsidP="00A158CE">
      <w:pPr>
        <w:jc w:val="both"/>
      </w:pPr>
    </w:p>
    <w:p w14:paraId="6E132E49" w14:textId="4B1FAE3B" w:rsidR="005059A8" w:rsidRDefault="005059A8" w:rsidP="00A158CE">
      <w:pPr>
        <w:jc w:val="both"/>
      </w:pPr>
    </w:p>
    <w:p w14:paraId="196BFDAE" w14:textId="62CB1C98" w:rsidR="005059A8" w:rsidRDefault="005059A8" w:rsidP="00A158CE">
      <w:pPr>
        <w:jc w:val="both"/>
      </w:pPr>
    </w:p>
    <w:p w14:paraId="2514D42E" w14:textId="4077B828" w:rsidR="005059A8" w:rsidRDefault="005059A8" w:rsidP="00A158CE">
      <w:pPr>
        <w:jc w:val="both"/>
      </w:pPr>
    </w:p>
    <w:p w14:paraId="4BE0AD00" w14:textId="193DCC55" w:rsidR="005059A8" w:rsidRDefault="005059A8" w:rsidP="00A158CE">
      <w:pPr>
        <w:jc w:val="both"/>
      </w:pPr>
    </w:p>
    <w:p w14:paraId="72D4A9A6" w14:textId="1E8D7088" w:rsidR="005059A8" w:rsidRDefault="005059A8" w:rsidP="00A158CE">
      <w:pPr>
        <w:jc w:val="both"/>
      </w:pPr>
    </w:p>
    <w:p w14:paraId="3322DD29" w14:textId="0A8725B7" w:rsidR="005059A8" w:rsidRDefault="005059A8" w:rsidP="00A158CE">
      <w:pPr>
        <w:jc w:val="both"/>
      </w:pPr>
    </w:p>
    <w:p w14:paraId="7DBE8CC2" w14:textId="6968ACC5" w:rsidR="005059A8" w:rsidRDefault="005059A8" w:rsidP="00A158CE">
      <w:pPr>
        <w:jc w:val="both"/>
      </w:pPr>
    </w:p>
    <w:p w14:paraId="6FB8F0D5" w14:textId="562C5E9F" w:rsidR="005059A8" w:rsidRDefault="005059A8" w:rsidP="00A158CE">
      <w:pPr>
        <w:jc w:val="both"/>
      </w:pPr>
    </w:p>
    <w:p w14:paraId="7F36E248" w14:textId="4DF0D52A" w:rsidR="005059A8" w:rsidRDefault="005059A8" w:rsidP="00A158CE">
      <w:pPr>
        <w:jc w:val="both"/>
      </w:pPr>
    </w:p>
    <w:p w14:paraId="2B2E9D67" w14:textId="799ACD94" w:rsidR="005059A8" w:rsidRDefault="005059A8" w:rsidP="00A158CE">
      <w:pPr>
        <w:jc w:val="both"/>
      </w:pPr>
    </w:p>
    <w:p w14:paraId="42CDAA1D" w14:textId="05D6D0DB" w:rsidR="005059A8" w:rsidRDefault="005059A8" w:rsidP="00A158CE">
      <w:pPr>
        <w:jc w:val="both"/>
      </w:pPr>
    </w:p>
    <w:p w14:paraId="1D170CDF" w14:textId="4AFC86AD" w:rsidR="005059A8" w:rsidRDefault="005059A8" w:rsidP="00A158CE">
      <w:pPr>
        <w:jc w:val="both"/>
      </w:pPr>
    </w:p>
    <w:p w14:paraId="54C766D3" w14:textId="5C260D87" w:rsidR="005059A8" w:rsidRDefault="005059A8" w:rsidP="00A158CE">
      <w:pPr>
        <w:jc w:val="both"/>
      </w:pPr>
    </w:p>
    <w:p w14:paraId="3AE1CABC" w14:textId="242FA881" w:rsidR="005059A8" w:rsidRDefault="005059A8" w:rsidP="00A158CE">
      <w:pPr>
        <w:jc w:val="both"/>
      </w:pPr>
    </w:p>
    <w:p w14:paraId="536013B6" w14:textId="23F09E6D" w:rsidR="005059A8" w:rsidRDefault="005059A8" w:rsidP="00A158CE">
      <w:pPr>
        <w:jc w:val="both"/>
      </w:pPr>
    </w:p>
    <w:p w14:paraId="60FA8267" w14:textId="256A1349" w:rsidR="005059A8" w:rsidRDefault="005059A8" w:rsidP="00A158CE">
      <w:pPr>
        <w:jc w:val="both"/>
      </w:pPr>
    </w:p>
    <w:p w14:paraId="7172AF68" w14:textId="510E6D20" w:rsidR="005059A8" w:rsidRDefault="005059A8" w:rsidP="00A158CE">
      <w:pPr>
        <w:jc w:val="both"/>
      </w:pPr>
    </w:p>
    <w:p w14:paraId="317D3F38" w14:textId="15ED8A63" w:rsidR="005059A8" w:rsidRDefault="005059A8" w:rsidP="00A158CE">
      <w:pPr>
        <w:jc w:val="both"/>
      </w:pPr>
    </w:p>
    <w:p w14:paraId="54E2C6CA" w14:textId="627C36D1" w:rsidR="005059A8" w:rsidRDefault="005059A8" w:rsidP="00A158CE">
      <w:pPr>
        <w:jc w:val="both"/>
      </w:pPr>
    </w:p>
    <w:p w14:paraId="524FCEA2" w14:textId="1A49A99C" w:rsidR="005059A8" w:rsidRDefault="005059A8" w:rsidP="00A158CE">
      <w:pPr>
        <w:jc w:val="both"/>
      </w:pPr>
    </w:p>
    <w:p w14:paraId="16FC92B3" w14:textId="0EBA1EA4" w:rsidR="005059A8" w:rsidRDefault="005059A8" w:rsidP="00A158CE">
      <w:pPr>
        <w:jc w:val="both"/>
      </w:pPr>
    </w:p>
    <w:p w14:paraId="1536214B" w14:textId="582BDD0A" w:rsidR="005059A8" w:rsidRDefault="005059A8" w:rsidP="00A158CE">
      <w:pPr>
        <w:jc w:val="both"/>
      </w:pPr>
    </w:p>
    <w:p w14:paraId="25CBA432" w14:textId="0BAC24A1" w:rsidR="005059A8" w:rsidRDefault="005059A8" w:rsidP="00A158CE">
      <w:pPr>
        <w:jc w:val="both"/>
      </w:pPr>
    </w:p>
    <w:p w14:paraId="6605FBF8" w14:textId="26B06191" w:rsidR="005059A8" w:rsidRDefault="005059A8" w:rsidP="00A158CE">
      <w:pPr>
        <w:jc w:val="both"/>
      </w:pPr>
    </w:p>
    <w:p w14:paraId="579BAFDF" w14:textId="5EDAC822" w:rsidR="005059A8" w:rsidRDefault="005059A8" w:rsidP="00A158CE">
      <w:pPr>
        <w:jc w:val="both"/>
      </w:pPr>
    </w:p>
    <w:p w14:paraId="0A3CBACA" w14:textId="5EE1CEC2" w:rsidR="005059A8" w:rsidRDefault="005059A8" w:rsidP="00A158CE">
      <w:pPr>
        <w:jc w:val="both"/>
      </w:pPr>
    </w:p>
    <w:p w14:paraId="17C5DD4B" w14:textId="64ED182D" w:rsidR="005059A8" w:rsidRDefault="005059A8" w:rsidP="00A158CE">
      <w:pPr>
        <w:jc w:val="both"/>
      </w:pPr>
    </w:p>
    <w:p w14:paraId="76C566AA" w14:textId="03B1091D" w:rsidR="005059A8" w:rsidRDefault="005059A8" w:rsidP="00A158CE">
      <w:pPr>
        <w:jc w:val="both"/>
      </w:pPr>
    </w:p>
    <w:p w14:paraId="39B74C5E" w14:textId="4B09BC16" w:rsidR="005059A8" w:rsidRDefault="005059A8" w:rsidP="00A158CE">
      <w:pPr>
        <w:jc w:val="both"/>
      </w:pPr>
    </w:p>
    <w:p w14:paraId="4F817E45" w14:textId="76ADDE6B" w:rsidR="005059A8" w:rsidRDefault="005059A8" w:rsidP="00A158CE">
      <w:pPr>
        <w:jc w:val="both"/>
      </w:pPr>
    </w:p>
    <w:p w14:paraId="073A9800" w14:textId="7A386A8E" w:rsidR="005059A8" w:rsidRDefault="005059A8" w:rsidP="00A158CE">
      <w:pPr>
        <w:jc w:val="both"/>
      </w:pPr>
    </w:p>
    <w:p w14:paraId="615CD480" w14:textId="384E9D53" w:rsidR="005059A8" w:rsidRDefault="005059A8" w:rsidP="00A158CE">
      <w:pPr>
        <w:jc w:val="both"/>
      </w:pPr>
    </w:p>
    <w:p w14:paraId="53C0BFC8" w14:textId="77777777" w:rsidR="005059A8" w:rsidRDefault="005059A8" w:rsidP="00A158CE">
      <w:pPr>
        <w:jc w:val="both"/>
      </w:pPr>
    </w:p>
    <w:p w14:paraId="56CF953E" w14:textId="77777777" w:rsidR="000A7044" w:rsidRDefault="00D55DC0" w:rsidP="00A158CE">
      <w:pPr>
        <w:pStyle w:val="Style2"/>
        <w:jc w:val="both"/>
      </w:pPr>
      <w:bookmarkStart w:id="8" w:name="_Toc45203631"/>
      <w:r>
        <w:lastRenderedPageBreak/>
        <w:t>Research Excellence Framework (</w:t>
      </w:r>
      <w:r w:rsidR="000A7044">
        <w:t>REF</w:t>
      </w:r>
      <w:r>
        <w:t>) Review</w:t>
      </w:r>
      <w:bookmarkEnd w:id="8"/>
    </w:p>
    <w:p w14:paraId="749D4882" w14:textId="77777777" w:rsidR="00571F73" w:rsidRDefault="00571F73" w:rsidP="00A158CE">
      <w:pPr>
        <w:jc w:val="both"/>
      </w:pPr>
    </w:p>
    <w:p w14:paraId="50F38D06" w14:textId="77777777" w:rsidR="003C0020" w:rsidRDefault="00571F73" w:rsidP="00A158CE">
      <w:pPr>
        <w:jc w:val="both"/>
      </w:pPr>
      <w:r>
        <w:t xml:space="preserve">The REF is </w:t>
      </w:r>
      <w:r w:rsidR="003C0020">
        <w:t xml:space="preserve">intended to meet the UK funding councils’ </w:t>
      </w:r>
      <w:r w:rsidRPr="00571F73">
        <w:t xml:space="preserve">policy aim </w:t>
      </w:r>
      <w:r w:rsidR="00ED5C4A">
        <w:t xml:space="preserve">to ‘secure the continuation of a </w:t>
      </w:r>
      <w:r w:rsidRPr="00571F73">
        <w:t>world-class, dynamic and responsive research base across the full academic spectrum within UK higher education</w:t>
      </w:r>
      <w:r w:rsidR="00ED5C4A">
        <w:t>’</w:t>
      </w:r>
      <w:r w:rsidR="003C0020">
        <w:rPr>
          <w:rStyle w:val="FootnoteReference"/>
        </w:rPr>
        <w:footnoteReference w:id="5"/>
      </w:r>
      <w:r w:rsidR="003C0020">
        <w:t>. According to REF2021 information, t</w:t>
      </w:r>
      <w:r w:rsidR="003C0020" w:rsidRPr="003C0020">
        <w:t>he REF outcomes are used to calculate about £2 billion per year of public funding for universities’ research, and affect their international reputations</w:t>
      </w:r>
      <w:r w:rsidR="003C0020">
        <w:rPr>
          <w:rStyle w:val="FootnoteReference"/>
        </w:rPr>
        <w:footnoteReference w:id="6"/>
      </w:r>
      <w:r w:rsidR="003C0020">
        <w:t>. REF results therefore directly affect research funding</w:t>
      </w:r>
      <w:r w:rsidR="00ED5C4A">
        <w:t xml:space="preserve"> income</w:t>
      </w:r>
      <w:r w:rsidR="003C0020">
        <w:t>. The REF2014 exercise included an assessment of the impact of research which contributed 20% cent of the overall quality profile; research outputs contributed 65%</w:t>
      </w:r>
      <w:r w:rsidR="003C0020">
        <w:rPr>
          <w:rStyle w:val="FootnoteReference"/>
        </w:rPr>
        <w:footnoteReference w:id="7"/>
      </w:r>
      <w:r w:rsidR="006C3B28">
        <w:t xml:space="preserve"> (this will change to 25% and 60% respectively for REF2021</w:t>
      </w:r>
      <w:r w:rsidR="006C3B28">
        <w:rPr>
          <w:rStyle w:val="FootnoteReference"/>
        </w:rPr>
        <w:footnoteReference w:id="8"/>
      </w:r>
      <w:r w:rsidR="006C3B28">
        <w:t>).</w:t>
      </w:r>
    </w:p>
    <w:p w14:paraId="2E42E4D1" w14:textId="77777777" w:rsidR="002436B8" w:rsidRDefault="002436B8" w:rsidP="00A158CE">
      <w:pPr>
        <w:jc w:val="both"/>
      </w:pPr>
    </w:p>
    <w:p w14:paraId="5750EFE1" w14:textId="77777777" w:rsidR="00D55DC0" w:rsidRDefault="002436B8" w:rsidP="00A158CE">
      <w:pPr>
        <w:jc w:val="both"/>
      </w:pPr>
      <w:r>
        <w:t xml:space="preserve">Research impact was assessed via submission of impact case studies with the number of case studies that a unit of assessment was required to submit linked to the number of FTE staff that were submitted. Impact for each unit of assessment (no score is provided for individual impact case studies) was assessed </w:t>
      </w:r>
      <w:r w:rsidR="002933D1">
        <w:t xml:space="preserve">by a REF panel </w:t>
      </w:r>
      <w:r>
        <w:t>using the following criteria</w:t>
      </w:r>
      <w:r>
        <w:rPr>
          <w:rStyle w:val="FootnoteReference"/>
        </w:rPr>
        <w:footnoteReference w:id="9"/>
      </w:r>
      <w:r>
        <w:t>:</w:t>
      </w:r>
    </w:p>
    <w:p w14:paraId="062D60F3" w14:textId="77777777" w:rsidR="00D9181D" w:rsidRDefault="00D9181D" w:rsidP="00A158CE">
      <w:pPr>
        <w:jc w:val="both"/>
      </w:pPr>
    </w:p>
    <w:p w14:paraId="15ECEF72" w14:textId="77777777" w:rsidR="00D9181D" w:rsidRPr="00D9181D" w:rsidRDefault="00D9181D" w:rsidP="00A158CE">
      <w:pPr>
        <w:jc w:val="both"/>
        <w:rPr>
          <w:color w:val="1F4E79" w:themeColor="accent1" w:themeShade="80"/>
          <w:sz w:val="18"/>
        </w:rPr>
      </w:pPr>
      <w:r w:rsidRPr="002A6740">
        <w:rPr>
          <w:color w:val="1F4E79" w:themeColor="accent1" w:themeShade="80"/>
          <w:sz w:val="18"/>
        </w:rPr>
        <w:t xml:space="preserve">Table </w:t>
      </w:r>
      <w:r>
        <w:rPr>
          <w:color w:val="1F4E79" w:themeColor="accent1" w:themeShade="80"/>
          <w:sz w:val="18"/>
        </w:rPr>
        <w:t>3</w:t>
      </w:r>
      <w:r w:rsidRPr="002A6740">
        <w:rPr>
          <w:color w:val="1F4E79" w:themeColor="accent1" w:themeShade="80"/>
          <w:sz w:val="18"/>
        </w:rPr>
        <w:t xml:space="preserve">: </w:t>
      </w:r>
      <w:r>
        <w:rPr>
          <w:color w:val="1F4E79" w:themeColor="accent1" w:themeShade="80"/>
          <w:sz w:val="18"/>
        </w:rPr>
        <w:t>REF2014 impact ratings</w:t>
      </w:r>
    </w:p>
    <w:p w14:paraId="3DAA9F7D" w14:textId="77777777" w:rsidR="002436B8" w:rsidRDefault="002436B8" w:rsidP="00A158CE">
      <w:pPr>
        <w:jc w:val="both"/>
      </w:pPr>
    </w:p>
    <w:tbl>
      <w:tblPr>
        <w:tblW w:w="0" w:type="auto"/>
        <w:jc w:val="center"/>
        <w:tblBorders>
          <w:top w:val="single" w:sz="6" w:space="0" w:color="007088"/>
          <w:left w:val="single" w:sz="6" w:space="0" w:color="007088"/>
          <w:bottom w:val="single" w:sz="6" w:space="0" w:color="007088"/>
          <w:right w:val="single" w:sz="6" w:space="0" w:color="007088"/>
        </w:tblBorders>
        <w:shd w:val="clear" w:color="auto" w:fill="FFFFFF"/>
        <w:tblCellMar>
          <w:top w:w="15" w:type="dxa"/>
          <w:left w:w="15" w:type="dxa"/>
          <w:bottom w:w="15" w:type="dxa"/>
          <w:right w:w="15" w:type="dxa"/>
        </w:tblCellMar>
        <w:tblLook w:val="04A0" w:firstRow="1" w:lastRow="0" w:firstColumn="1" w:lastColumn="0" w:noHBand="0" w:noVBand="1"/>
      </w:tblPr>
      <w:tblGrid>
        <w:gridCol w:w="1001"/>
        <w:gridCol w:w="5923"/>
      </w:tblGrid>
      <w:tr w:rsidR="002436B8" w:rsidRPr="002436B8" w14:paraId="1F8770CA" w14:textId="77777777" w:rsidTr="002436B8">
        <w:trPr>
          <w:jc w:val="center"/>
        </w:trPr>
        <w:tc>
          <w:tcPr>
            <w:tcW w:w="0" w:type="auto"/>
            <w:tcBorders>
              <w:top w:val="single" w:sz="6" w:space="0" w:color="007088"/>
              <w:left w:val="single" w:sz="6" w:space="0" w:color="007088"/>
              <w:bottom w:val="single" w:sz="6" w:space="0" w:color="007088"/>
              <w:right w:val="single" w:sz="6" w:space="0" w:color="007088"/>
            </w:tcBorders>
            <w:shd w:val="clear" w:color="auto" w:fill="FFFFFF"/>
            <w:tcMar>
              <w:top w:w="90" w:type="dxa"/>
              <w:left w:w="90" w:type="dxa"/>
              <w:bottom w:w="90" w:type="dxa"/>
              <w:right w:w="90" w:type="dxa"/>
            </w:tcMar>
            <w:vAlign w:val="center"/>
            <w:hideMark/>
          </w:tcPr>
          <w:p w14:paraId="55B5454B" w14:textId="77777777" w:rsidR="002436B8" w:rsidRPr="00984DFE" w:rsidRDefault="002436B8" w:rsidP="00A158CE">
            <w:pPr>
              <w:jc w:val="both"/>
              <w:rPr>
                <w:rFonts w:eastAsia="Times New Roman" w:cs="Arial"/>
                <w:color w:val="000000"/>
                <w:sz w:val="18"/>
                <w:szCs w:val="18"/>
                <w:lang w:eastAsia="en-GB"/>
              </w:rPr>
            </w:pPr>
            <w:r w:rsidRPr="00984DFE">
              <w:rPr>
                <w:rFonts w:eastAsia="Times New Roman" w:cs="Arial"/>
                <w:color w:val="000000"/>
                <w:sz w:val="18"/>
                <w:szCs w:val="18"/>
                <w:lang w:eastAsia="en-GB"/>
              </w:rPr>
              <w:t>Four star </w:t>
            </w:r>
          </w:p>
        </w:tc>
        <w:tc>
          <w:tcPr>
            <w:tcW w:w="0" w:type="auto"/>
            <w:tcBorders>
              <w:top w:val="single" w:sz="6" w:space="0" w:color="007088"/>
              <w:left w:val="single" w:sz="6" w:space="0" w:color="007088"/>
              <w:bottom w:val="single" w:sz="6" w:space="0" w:color="007088"/>
              <w:right w:val="single" w:sz="6" w:space="0" w:color="007088"/>
            </w:tcBorders>
            <w:shd w:val="clear" w:color="auto" w:fill="FFFFFF"/>
            <w:tcMar>
              <w:top w:w="90" w:type="dxa"/>
              <w:left w:w="90" w:type="dxa"/>
              <w:bottom w:w="90" w:type="dxa"/>
              <w:right w:w="90" w:type="dxa"/>
            </w:tcMar>
            <w:vAlign w:val="center"/>
            <w:hideMark/>
          </w:tcPr>
          <w:p w14:paraId="263021A5" w14:textId="77777777" w:rsidR="002436B8" w:rsidRPr="00984DFE" w:rsidRDefault="002436B8" w:rsidP="00A158CE">
            <w:pPr>
              <w:jc w:val="both"/>
              <w:rPr>
                <w:rFonts w:eastAsia="Times New Roman" w:cs="Arial"/>
                <w:color w:val="000000"/>
                <w:sz w:val="18"/>
                <w:szCs w:val="18"/>
                <w:lang w:eastAsia="en-GB"/>
              </w:rPr>
            </w:pPr>
            <w:r w:rsidRPr="00984DFE">
              <w:rPr>
                <w:rFonts w:eastAsia="Times New Roman" w:cs="Arial"/>
                <w:color w:val="000000"/>
                <w:sz w:val="18"/>
                <w:szCs w:val="18"/>
                <w:lang w:eastAsia="en-GB"/>
              </w:rPr>
              <w:t> Outstanding impacts in terms of their reach and significance.</w:t>
            </w:r>
          </w:p>
        </w:tc>
      </w:tr>
      <w:tr w:rsidR="002436B8" w:rsidRPr="002436B8" w14:paraId="117D88EE" w14:textId="77777777" w:rsidTr="002436B8">
        <w:trPr>
          <w:jc w:val="center"/>
        </w:trPr>
        <w:tc>
          <w:tcPr>
            <w:tcW w:w="0" w:type="auto"/>
            <w:tcBorders>
              <w:top w:val="single" w:sz="6" w:space="0" w:color="007088"/>
              <w:left w:val="single" w:sz="6" w:space="0" w:color="007088"/>
              <w:bottom w:val="single" w:sz="6" w:space="0" w:color="007088"/>
              <w:right w:val="single" w:sz="6" w:space="0" w:color="007088"/>
            </w:tcBorders>
            <w:shd w:val="clear" w:color="auto" w:fill="FFFFFF"/>
            <w:tcMar>
              <w:top w:w="90" w:type="dxa"/>
              <w:left w:w="90" w:type="dxa"/>
              <w:bottom w:w="90" w:type="dxa"/>
              <w:right w:w="90" w:type="dxa"/>
            </w:tcMar>
            <w:vAlign w:val="center"/>
            <w:hideMark/>
          </w:tcPr>
          <w:p w14:paraId="29FEB18D" w14:textId="77777777" w:rsidR="002436B8" w:rsidRPr="00984DFE" w:rsidRDefault="002436B8" w:rsidP="00A158CE">
            <w:pPr>
              <w:jc w:val="both"/>
              <w:rPr>
                <w:rFonts w:eastAsia="Times New Roman" w:cs="Arial"/>
                <w:color w:val="000000"/>
                <w:sz w:val="18"/>
                <w:szCs w:val="18"/>
                <w:lang w:eastAsia="en-GB"/>
              </w:rPr>
            </w:pPr>
            <w:r w:rsidRPr="00984DFE">
              <w:rPr>
                <w:rFonts w:eastAsia="Times New Roman" w:cs="Arial"/>
                <w:color w:val="000000"/>
                <w:sz w:val="18"/>
                <w:szCs w:val="18"/>
                <w:lang w:eastAsia="en-GB"/>
              </w:rPr>
              <w:t>Three star</w:t>
            </w:r>
          </w:p>
        </w:tc>
        <w:tc>
          <w:tcPr>
            <w:tcW w:w="0" w:type="auto"/>
            <w:tcBorders>
              <w:top w:val="single" w:sz="6" w:space="0" w:color="007088"/>
              <w:left w:val="single" w:sz="6" w:space="0" w:color="007088"/>
              <w:bottom w:val="single" w:sz="6" w:space="0" w:color="007088"/>
              <w:right w:val="single" w:sz="6" w:space="0" w:color="007088"/>
            </w:tcBorders>
            <w:shd w:val="clear" w:color="auto" w:fill="FFFFFF"/>
            <w:tcMar>
              <w:top w:w="90" w:type="dxa"/>
              <w:left w:w="90" w:type="dxa"/>
              <w:bottom w:w="90" w:type="dxa"/>
              <w:right w:w="90" w:type="dxa"/>
            </w:tcMar>
            <w:vAlign w:val="center"/>
            <w:hideMark/>
          </w:tcPr>
          <w:p w14:paraId="2AEE4298" w14:textId="77777777" w:rsidR="002436B8" w:rsidRPr="00984DFE" w:rsidRDefault="002436B8" w:rsidP="00A158CE">
            <w:pPr>
              <w:jc w:val="both"/>
              <w:rPr>
                <w:rFonts w:eastAsia="Times New Roman" w:cs="Arial"/>
                <w:color w:val="000000"/>
                <w:sz w:val="18"/>
                <w:szCs w:val="18"/>
                <w:lang w:eastAsia="en-GB"/>
              </w:rPr>
            </w:pPr>
            <w:r w:rsidRPr="00984DFE">
              <w:rPr>
                <w:rFonts w:eastAsia="Times New Roman" w:cs="Arial"/>
                <w:color w:val="000000"/>
                <w:sz w:val="18"/>
                <w:szCs w:val="18"/>
                <w:lang w:eastAsia="en-GB"/>
              </w:rPr>
              <w:t> Very considerable impacts in terms of their reach and significance.</w:t>
            </w:r>
          </w:p>
        </w:tc>
      </w:tr>
      <w:tr w:rsidR="002436B8" w:rsidRPr="002436B8" w14:paraId="31FE29D3" w14:textId="77777777" w:rsidTr="002436B8">
        <w:trPr>
          <w:jc w:val="center"/>
        </w:trPr>
        <w:tc>
          <w:tcPr>
            <w:tcW w:w="0" w:type="auto"/>
            <w:tcBorders>
              <w:top w:val="single" w:sz="6" w:space="0" w:color="007088"/>
              <w:left w:val="single" w:sz="6" w:space="0" w:color="007088"/>
              <w:bottom w:val="single" w:sz="6" w:space="0" w:color="007088"/>
              <w:right w:val="single" w:sz="6" w:space="0" w:color="007088"/>
            </w:tcBorders>
            <w:shd w:val="clear" w:color="auto" w:fill="FFFFFF"/>
            <w:tcMar>
              <w:top w:w="90" w:type="dxa"/>
              <w:left w:w="90" w:type="dxa"/>
              <w:bottom w:w="90" w:type="dxa"/>
              <w:right w:w="90" w:type="dxa"/>
            </w:tcMar>
            <w:vAlign w:val="center"/>
            <w:hideMark/>
          </w:tcPr>
          <w:p w14:paraId="17FABF6C" w14:textId="77777777" w:rsidR="002436B8" w:rsidRPr="00984DFE" w:rsidRDefault="002436B8" w:rsidP="00A158CE">
            <w:pPr>
              <w:jc w:val="both"/>
              <w:rPr>
                <w:rFonts w:eastAsia="Times New Roman" w:cs="Arial"/>
                <w:color w:val="000000"/>
                <w:sz w:val="18"/>
                <w:szCs w:val="18"/>
                <w:lang w:eastAsia="en-GB"/>
              </w:rPr>
            </w:pPr>
            <w:r w:rsidRPr="00984DFE">
              <w:rPr>
                <w:rFonts w:eastAsia="Times New Roman" w:cs="Arial"/>
                <w:color w:val="000000"/>
                <w:sz w:val="18"/>
                <w:szCs w:val="18"/>
                <w:lang w:eastAsia="en-GB"/>
              </w:rPr>
              <w:t>Two star</w:t>
            </w:r>
          </w:p>
        </w:tc>
        <w:tc>
          <w:tcPr>
            <w:tcW w:w="0" w:type="auto"/>
            <w:tcBorders>
              <w:top w:val="single" w:sz="6" w:space="0" w:color="007088"/>
              <w:left w:val="single" w:sz="6" w:space="0" w:color="007088"/>
              <w:bottom w:val="single" w:sz="6" w:space="0" w:color="007088"/>
              <w:right w:val="single" w:sz="6" w:space="0" w:color="007088"/>
            </w:tcBorders>
            <w:shd w:val="clear" w:color="auto" w:fill="FFFFFF"/>
            <w:tcMar>
              <w:top w:w="90" w:type="dxa"/>
              <w:left w:w="90" w:type="dxa"/>
              <w:bottom w:w="90" w:type="dxa"/>
              <w:right w:w="90" w:type="dxa"/>
            </w:tcMar>
            <w:vAlign w:val="center"/>
            <w:hideMark/>
          </w:tcPr>
          <w:p w14:paraId="098E451D" w14:textId="77777777" w:rsidR="002436B8" w:rsidRPr="00984DFE" w:rsidRDefault="002436B8" w:rsidP="00A158CE">
            <w:pPr>
              <w:jc w:val="both"/>
              <w:rPr>
                <w:rFonts w:eastAsia="Times New Roman" w:cs="Arial"/>
                <w:color w:val="000000"/>
                <w:sz w:val="18"/>
                <w:szCs w:val="18"/>
                <w:lang w:eastAsia="en-GB"/>
              </w:rPr>
            </w:pPr>
            <w:r w:rsidRPr="00984DFE">
              <w:rPr>
                <w:rFonts w:eastAsia="Times New Roman" w:cs="Arial"/>
                <w:color w:val="000000"/>
                <w:sz w:val="18"/>
                <w:szCs w:val="18"/>
                <w:lang w:eastAsia="en-GB"/>
              </w:rPr>
              <w:t> Considerable impacts in terms of their reach and significance.</w:t>
            </w:r>
          </w:p>
        </w:tc>
      </w:tr>
      <w:tr w:rsidR="002436B8" w:rsidRPr="002436B8" w14:paraId="1840B756" w14:textId="77777777" w:rsidTr="002436B8">
        <w:trPr>
          <w:jc w:val="center"/>
        </w:trPr>
        <w:tc>
          <w:tcPr>
            <w:tcW w:w="0" w:type="auto"/>
            <w:tcBorders>
              <w:top w:val="single" w:sz="6" w:space="0" w:color="007088"/>
              <w:left w:val="single" w:sz="6" w:space="0" w:color="007088"/>
              <w:bottom w:val="single" w:sz="6" w:space="0" w:color="007088"/>
              <w:right w:val="single" w:sz="6" w:space="0" w:color="007088"/>
            </w:tcBorders>
            <w:shd w:val="clear" w:color="auto" w:fill="FFFFFF"/>
            <w:tcMar>
              <w:top w:w="90" w:type="dxa"/>
              <w:left w:w="90" w:type="dxa"/>
              <w:bottom w:w="90" w:type="dxa"/>
              <w:right w:w="90" w:type="dxa"/>
            </w:tcMar>
            <w:vAlign w:val="center"/>
            <w:hideMark/>
          </w:tcPr>
          <w:p w14:paraId="7E9757A5" w14:textId="77777777" w:rsidR="002436B8" w:rsidRPr="00984DFE" w:rsidRDefault="002436B8" w:rsidP="00A158CE">
            <w:pPr>
              <w:jc w:val="both"/>
              <w:rPr>
                <w:rFonts w:eastAsia="Times New Roman" w:cs="Arial"/>
                <w:color w:val="000000"/>
                <w:sz w:val="18"/>
                <w:szCs w:val="18"/>
                <w:lang w:eastAsia="en-GB"/>
              </w:rPr>
            </w:pPr>
            <w:r w:rsidRPr="00984DFE">
              <w:rPr>
                <w:rFonts w:eastAsia="Times New Roman" w:cs="Arial"/>
                <w:color w:val="000000"/>
                <w:sz w:val="18"/>
                <w:szCs w:val="18"/>
                <w:lang w:eastAsia="en-GB"/>
              </w:rPr>
              <w:t>One star</w:t>
            </w:r>
          </w:p>
        </w:tc>
        <w:tc>
          <w:tcPr>
            <w:tcW w:w="0" w:type="auto"/>
            <w:tcBorders>
              <w:top w:val="single" w:sz="6" w:space="0" w:color="007088"/>
              <w:left w:val="single" w:sz="6" w:space="0" w:color="007088"/>
              <w:bottom w:val="single" w:sz="6" w:space="0" w:color="007088"/>
              <w:right w:val="single" w:sz="6" w:space="0" w:color="007088"/>
            </w:tcBorders>
            <w:shd w:val="clear" w:color="auto" w:fill="FFFFFF"/>
            <w:tcMar>
              <w:top w:w="90" w:type="dxa"/>
              <w:left w:w="90" w:type="dxa"/>
              <w:bottom w:w="90" w:type="dxa"/>
              <w:right w:w="90" w:type="dxa"/>
            </w:tcMar>
            <w:vAlign w:val="center"/>
            <w:hideMark/>
          </w:tcPr>
          <w:p w14:paraId="0F0A4689" w14:textId="77777777" w:rsidR="002436B8" w:rsidRPr="00984DFE" w:rsidRDefault="002436B8" w:rsidP="00A158CE">
            <w:pPr>
              <w:jc w:val="both"/>
              <w:rPr>
                <w:rFonts w:eastAsia="Times New Roman" w:cs="Arial"/>
                <w:color w:val="000000"/>
                <w:sz w:val="18"/>
                <w:szCs w:val="18"/>
                <w:lang w:eastAsia="en-GB"/>
              </w:rPr>
            </w:pPr>
            <w:r w:rsidRPr="00984DFE">
              <w:rPr>
                <w:rFonts w:eastAsia="Times New Roman" w:cs="Arial"/>
                <w:color w:val="000000"/>
                <w:sz w:val="18"/>
                <w:szCs w:val="18"/>
                <w:lang w:eastAsia="en-GB"/>
              </w:rPr>
              <w:t> Recognised but modest impacts in terms of their reach and significance</w:t>
            </w:r>
          </w:p>
        </w:tc>
      </w:tr>
    </w:tbl>
    <w:p w14:paraId="05C60F40" w14:textId="77777777" w:rsidR="002436B8" w:rsidRDefault="002436B8" w:rsidP="00A158CE">
      <w:pPr>
        <w:jc w:val="both"/>
      </w:pPr>
    </w:p>
    <w:p w14:paraId="1A43B5C9" w14:textId="77777777" w:rsidR="002436B8" w:rsidRDefault="002436B8" w:rsidP="00A158CE">
      <w:pPr>
        <w:jc w:val="both"/>
      </w:pPr>
      <w:r>
        <w:t xml:space="preserve">Submission of research outputs (academic papers) and impact case studies is carefully considered by institutions and reflects the importance that work in a particular research area is given by each institution. The star rating that the REF panels give outputs and impact represents the value </w:t>
      </w:r>
      <w:r w:rsidR="00ED5C4A">
        <w:t>of research</w:t>
      </w:r>
      <w:r>
        <w:t xml:space="preserve"> work to national and international communities.</w:t>
      </w:r>
    </w:p>
    <w:p w14:paraId="7EB4FD80" w14:textId="77777777" w:rsidR="001F705D" w:rsidRDefault="001F705D" w:rsidP="00A158CE">
      <w:pPr>
        <w:jc w:val="both"/>
      </w:pPr>
    </w:p>
    <w:p w14:paraId="006E0ABE" w14:textId="77777777" w:rsidR="00D55DC0" w:rsidRDefault="00D55DC0" w:rsidP="00A158CE">
      <w:pPr>
        <w:pStyle w:val="Style3"/>
        <w:numPr>
          <w:ilvl w:val="1"/>
          <w:numId w:val="4"/>
        </w:numPr>
        <w:ind w:left="426" w:hanging="426"/>
        <w:jc w:val="both"/>
      </w:pPr>
      <w:bookmarkStart w:id="9" w:name="_Toc45203632"/>
      <w:r>
        <w:t>Action to date</w:t>
      </w:r>
      <w:bookmarkEnd w:id="9"/>
    </w:p>
    <w:p w14:paraId="189EDC97" w14:textId="77777777" w:rsidR="000A7044" w:rsidRDefault="000A7044" w:rsidP="00A158CE">
      <w:pPr>
        <w:jc w:val="both"/>
      </w:pPr>
    </w:p>
    <w:p w14:paraId="21813DDD" w14:textId="77777777" w:rsidR="000A7044" w:rsidRDefault="006C3B28" w:rsidP="00A158CE">
      <w:pPr>
        <w:jc w:val="both"/>
      </w:pPr>
      <w:r>
        <w:t>Searches were conducted for REF2014 output and impact case study submissions</w:t>
      </w:r>
      <w:r w:rsidR="008F1160">
        <w:rPr>
          <w:rStyle w:val="FootnoteReference"/>
        </w:rPr>
        <w:footnoteReference w:id="10"/>
      </w:r>
      <w:r>
        <w:t xml:space="preserve"> using the following search criteria:</w:t>
      </w:r>
    </w:p>
    <w:p w14:paraId="03DF665F" w14:textId="77777777" w:rsidR="006C3B28" w:rsidRDefault="006C3B28" w:rsidP="00A158CE">
      <w:pPr>
        <w:jc w:val="both"/>
      </w:pPr>
    </w:p>
    <w:p w14:paraId="2C670CD3" w14:textId="5A099391" w:rsidR="006C3B28" w:rsidRDefault="008F1160" w:rsidP="00A158CE">
      <w:pPr>
        <w:pStyle w:val="ListParagraph"/>
        <w:numPr>
          <w:ilvl w:val="0"/>
          <w:numId w:val="22"/>
        </w:numPr>
        <w:jc w:val="both"/>
      </w:pPr>
      <w:r>
        <w:t>Enterprise education</w:t>
      </w:r>
      <w:r w:rsidR="00BC3342">
        <w:t>;</w:t>
      </w:r>
    </w:p>
    <w:p w14:paraId="0863CAFB" w14:textId="3C6F0661" w:rsidR="008F1160" w:rsidRDefault="008F1160" w:rsidP="00A158CE">
      <w:pPr>
        <w:pStyle w:val="ListParagraph"/>
        <w:numPr>
          <w:ilvl w:val="0"/>
          <w:numId w:val="22"/>
        </w:numPr>
        <w:jc w:val="both"/>
      </w:pPr>
      <w:r>
        <w:t>Entrepreneurship education</w:t>
      </w:r>
      <w:r w:rsidR="00BC3342">
        <w:t>;</w:t>
      </w:r>
    </w:p>
    <w:p w14:paraId="776EA7DE" w14:textId="0A5495E0" w:rsidR="008F1160" w:rsidRDefault="008F1160" w:rsidP="00A158CE">
      <w:pPr>
        <w:pStyle w:val="ListParagraph"/>
        <w:numPr>
          <w:ilvl w:val="0"/>
          <w:numId w:val="22"/>
        </w:numPr>
        <w:jc w:val="both"/>
      </w:pPr>
      <w:r>
        <w:t>Entrepreneurial education</w:t>
      </w:r>
      <w:r w:rsidR="00BC3342">
        <w:t>;</w:t>
      </w:r>
    </w:p>
    <w:p w14:paraId="6B2AE1B0" w14:textId="5159AE9B" w:rsidR="008F1160" w:rsidRDefault="008F1160" w:rsidP="00A158CE">
      <w:pPr>
        <w:pStyle w:val="ListParagraph"/>
        <w:numPr>
          <w:ilvl w:val="0"/>
          <w:numId w:val="22"/>
        </w:numPr>
        <w:jc w:val="both"/>
      </w:pPr>
      <w:r>
        <w:t>Business start-up</w:t>
      </w:r>
      <w:r w:rsidR="00BC3342">
        <w:t>; and</w:t>
      </w:r>
    </w:p>
    <w:p w14:paraId="67210875" w14:textId="788C5CF4" w:rsidR="008F1160" w:rsidRDefault="008F1160" w:rsidP="00A158CE">
      <w:pPr>
        <w:pStyle w:val="ListParagraph"/>
        <w:numPr>
          <w:ilvl w:val="0"/>
          <w:numId w:val="22"/>
        </w:numPr>
        <w:jc w:val="both"/>
      </w:pPr>
      <w:r>
        <w:t>Entrepreneurship support</w:t>
      </w:r>
      <w:r w:rsidR="00BC3342">
        <w:t>.</w:t>
      </w:r>
    </w:p>
    <w:p w14:paraId="794E6384" w14:textId="77777777" w:rsidR="00ED5C4A" w:rsidRDefault="00ED5C4A" w:rsidP="00A158CE">
      <w:pPr>
        <w:jc w:val="both"/>
      </w:pPr>
    </w:p>
    <w:p w14:paraId="4F4CB830" w14:textId="77777777" w:rsidR="00ED5C4A" w:rsidRDefault="008F1160" w:rsidP="00A158CE">
      <w:pPr>
        <w:jc w:val="both"/>
      </w:pPr>
      <w:r>
        <w:t xml:space="preserve">The searches returned 3 impact case studies and 15 outputs submitted to REF2014 related to education search terms, and 1 impact case study and 2 outputs related to business start-up. 4 institutions submitted relevant impact case studies, 11 submitted outputs. All of the impact case studies and the majority of the outputs were submitted to the Business and Management Studies unit of assessment (19). 2 outputs were submitted to Education (25) and 1 output to Music, Drama, Dance, and the Performing Arts (35). </w:t>
      </w:r>
    </w:p>
    <w:p w14:paraId="4D42DF61" w14:textId="77777777" w:rsidR="008F1160" w:rsidRDefault="008F1160" w:rsidP="00A158CE">
      <w:pPr>
        <w:jc w:val="both"/>
      </w:pPr>
    </w:p>
    <w:p w14:paraId="19807331" w14:textId="77777777" w:rsidR="00ED5C4A" w:rsidRDefault="008F1160" w:rsidP="00A158CE">
      <w:pPr>
        <w:jc w:val="both"/>
      </w:pPr>
      <w:r>
        <w:t xml:space="preserve">The impact rating for the 4 institutions submitting relevant impact case studies were explored. </w:t>
      </w:r>
      <w:r w:rsidR="002933D1">
        <w:t xml:space="preserve">A separate impact rating was not provided for 1 of the 4 institutions due to low numbers of FTE returned. The impact case study for 2 of the institutions was rated at least 3* (very considerable or outstanding); 1 was rated at least 2* (considerable, very </w:t>
      </w:r>
      <w:proofErr w:type="gramStart"/>
      <w:r w:rsidR="002933D1">
        <w:t>considerable</w:t>
      </w:r>
      <w:proofErr w:type="gramEnd"/>
      <w:r w:rsidR="002933D1">
        <w:t xml:space="preserve"> or outstanding). This shows that research and impact work relating to enterprise, entrepreneurship, or entrepreneurial education can provide a </w:t>
      </w:r>
      <w:r w:rsidR="002933D1">
        <w:lastRenderedPageBreak/>
        <w:t>meaningful contribution to REF results and therefore research funding. It can also have a significant impact on the communities it serves.</w:t>
      </w:r>
    </w:p>
    <w:p w14:paraId="160FD972" w14:textId="77777777" w:rsidR="002933D1" w:rsidRDefault="002933D1" w:rsidP="00A158CE">
      <w:pPr>
        <w:jc w:val="both"/>
      </w:pPr>
    </w:p>
    <w:p w14:paraId="7915AD79" w14:textId="77777777" w:rsidR="002933D1" w:rsidRDefault="002933D1" w:rsidP="00A158CE">
      <w:pPr>
        <w:pStyle w:val="Style3"/>
        <w:numPr>
          <w:ilvl w:val="1"/>
          <w:numId w:val="4"/>
        </w:numPr>
        <w:ind w:left="426" w:hanging="426"/>
        <w:jc w:val="both"/>
      </w:pPr>
      <w:bookmarkStart w:id="10" w:name="_Toc45203633"/>
      <w:r>
        <w:t>How this information has been used</w:t>
      </w:r>
      <w:bookmarkEnd w:id="10"/>
    </w:p>
    <w:p w14:paraId="4FACEA99" w14:textId="77777777" w:rsidR="002933D1" w:rsidRDefault="002933D1" w:rsidP="00A158CE">
      <w:pPr>
        <w:jc w:val="both"/>
      </w:pPr>
    </w:p>
    <w:p w14:paraId="37B0E24C" w14:textId="77777777" w:rsidR="002933D1" w:rsidRDefault="002933D1" w:rsidP="00A158CE">
      <w:pPr>
        <w:jc w:val="both"/>
      </w:pPr>
      <w:r>
        <w:t>The initial results have been used to inform a question in the Delphi study about how the results of impact evaluation is currently used, for example, for research purposes.</w:t>
      </w:r>
    </w:p>
    <w:p w14:paraId="7B3CC25E" w14:textId="77777777" w:rsidR="002933D1" w:rsidRDefault="002933D1" w:rsidP="00A158CE">
      <w:pPr>
        <w:jc w:val="both"/>
      </w:pPr>
    </w:p>
    <w:p w14:paraId="64F98E07" w14:textId="77777777" w:rsidR="002933D1" w:rsidRPr="002933D1" w:rsidRDefault="002933D1" w:rsidP="27C74852">
      <w:pPr>
        <w:pStyle w:val="Style3"/>
        <w:numPr>
          <w:ilvl w:val="1"/>
          <w:numId w:val="4"/>
        </w:numPr>
        <w:ind w:left="426" w:hanging="426"/>
        <w:jc w:val="both"/>
        <w:rPr>
          <w:rFonts w:asciiTheme="minorHAnsi" w:eastAsiaTheme="minorEastAsia" w:hAnsiTheme="minorHAnsi"/>
          <w:szCs w:val="20"/>
        </w:rPr>
      </w:pPr>
      <w:bookmarkStart w:id="11" w:name="_Toc45203634"/>
      <w:r>
        <w:t>Next steps</w:t>
      </w:r>
      <w:bookmarkEnd w:id="11"/>
    </w:p>
    <w:p w14:paraId="54CA8260" w14:textId="77777777" w:rsidR="00DB02AF" w:rsidRDefault="00DB02AF" w:rsidP="00A158CE">
      <w:pPr>
        <w:contextualSpacing/>
        <w:jc w:val="both"/>
      </w:pPr>
    </w:p>
    <w:p w14:paraId="77F882ED" w14:textId="060BDAD7" w:rsidR="002933D1" w:rsidRPr="002933D1" w:rsidRDefault="002933D1" w:rsidP="00A158CE">
      <w:pPr>
        <w:numPr>
          <w:ilvl w:val="0"/>
          <w:numId w:val="20"/>
        </w:numPr>
        <w:contextualSpacing/>
        <w:jc w:val="both"/>
      </w:pPr>
      <w:r w:rsidRPr="002933D1">
        <w:t>The results of the analysis will be used for journal article submission(s) that emerge from the study</w:t>
      </w:r>
      <w:r w:rsidR="00D52DE3">
        <w:t>.</w:t>
      </w:r>
    </w:p>
    <w:p w14:paraId="53ED49CF" w14:textId="48FBE386" w:rsidR="000A7044" w:rsidRDefault="000A7044" w:rsidP="00A158CE">
      <w:pPr>
        <w:jc w:val="both"/>
      </w:pPr>
    </w:p>
    <w:p w14:paraId="025479D4" w14:textId="7DD26DF0" w:rsidR="005059A8" w:rsidRDefault="005059A8" w:rsidP="00A158CE">
      <w:pPr>
        <w:jc w:val="both"/>
      </w:pPr>
    </w:p>
    <w:p w14:paraId="0CD08BAD" w14:textId="1669D71B" w:rsidR="005059A8" w:rsidRDefault="005059A8" w:rsidP="00A158CE">
      <w:pPr>
        <w:jc w:val="both"/>
      </w:pPr>
    </w:p>
    <w:p w14:paraId="756DEA9E" w14:textId="1902D33B" w:rsidR="005059A8" w:rsidRDefault="005059A8" w:rsidP="00A158CE">
      <w:pPr>
        <w:jc w:val="both"/>
      </w:pPr>
    </w:p>
    <w:p w14:paraId="1C6E49BD" w14:textId="2328DDA2" w:rsidR="005059A8" w:rsidRDefault="005059A8" w:rsidP="00A158CE">
      <w:pPr>
        <w:jc w:val="both"/>
      </w:pPr>
    </w:p>
    <w:p w14:paraId="71CB5442" w14:textId="3359FA11" w:rsidR="005059A8" w:rsidRDefault="005059A8" w:rsidP="00A158CE">
      <w:pPr>
        <w:jc w:val="both"/>
      </w:pPr>
    </w:p>
    <w:p w14:paraId="1DDB33D2" w14:textId="51D2E866" w:rsidR="005059A8" w:rsidRDefault="005059A8" w:rsidP="00A158CE">
      <w:pPr>
        <w:jc w:val="both"/>
      </w:pPr>
    </w:p>
    <w:p w14:paraId="232A692C" w14:textId="34680569" w:rsidR="005059A8" w:rsidRDefault="005059A8" w:rsidP="00A158CE">
      <w:pPr>
        <w:jc w:val="both"/>
      </w:pPr>
    </w:p>
    <w:p w14:paraId="15A45D2C" w14:textId="347F13F6" w:rsidR="005059A8" w:rsidRDefault="005059A8" w:rsidP="00A158CE">
      <w:pPr>
        <w:jc w:val="both"/>
      </w:pPr>
    </w:p>
    <w:p w14:paraId="0A2D9119" w14:textId="4D2EE727" w:rsidR="005059A8" w:rsidRDefault="005059A8" w:rsidP="00A158CE">
      <w:pPr>
        <w:jc w:val="both"/>
      </w:pPr>
    </w:p>
    <w:p w14:paraId="1B669165" w14:textId="0B494D37" w:rsidR="005059A8" w:rsidRDefault="005059A8" w:rsidP="00A158CE">
      <w:pPr>
        <w:jc w:val="both"/>
      </w:pPr>
    </w:p>
    <w:p w14:paraId="1623E524" w14:textId="2450F9A4" w:rsidR="005059A8" w:rsidRDefault="005059A8" w:rsidP="00A158CE">
      <w:pPr>
        <w:jc w:val="both"/>
      </w:pPr>
    </w:p>
    <w:p w14:paraId="5185CFC2" w14:textId="73A53D33" w:rsidR="005059A8" w:rsidRDefault="005059A8" w:rsidP="00A158CE">
      <w:pPr>
        <w:jc w:val="both"/>
      </w:pPr>
    </w:p>
    <w:p w14:paraId="2529BA40" w14:textId="229E4D6D" w:rsidR="005059A8" w:rsidRDefault="005059A8" w:rsidP="00A158CE">
      <w:pPr>
        <w:jc w:val="both"/>
      </w:pPr>
    </w:p>
    <w:p w14:paraId="2E0D15A2" w14:textId="5C83E2E4" w:rsidR="005059A8" w:rsidRDefault="005059A8" w:rsidP="00A158CE">
      <w:pPr>
        <w:jc w:val="both"/>
      </w:pPr>
    </w:p>
    <w:p w14:paraId="4AA43898" w14:textId="436CD319" w:rsidR="005059A8" w:rsidRDefault="005059A8" w:rsidP="00A158CE">
      <w:pPr>
        <w:jc w:val="both"/>
      </w:pPr>
    </w:p>
    <w:p w14:paraId="40EB3AFA" w14:textId="4A8D2DD4" w:rsidR="005059A8" w:rsidRDefault="005059A8" w:rsidP="00A158CE">
      <w:pPr>
        <w:jc w:val="both"/>
      </w:pPr>
    </w:p>
    <w:p w14:paraId="2523EC05" w14:textId="2DEBAAEB" w:rsidR="005059A8" w:rsidRDefault="005059A8" w:rsidP="00A158CE">
      <w:pPr>
        <w:jc w:val="both"/>
      </w:pPr>
    </w:p>
    <w:p w14:paraId="4508B90F" w14:textId="32D434E4" w:rsidR="005059A8" w:rsidRDefault="005059A8" w:rsidP="00A158CE">
      <w:pPr>
        <w:jc w:val="both"/>
      </w:pPr>
    </w:p>
    <w:p w14:paraId="11FDDC02" w14:textId="29786CAD" w:rsidR="005059A8" w:rsidRDefault="005059A8" w:rsidP="00A158CE">
      <w:pPr>
        <w:jc w:val="both"/>
      </w:pPr>
    </w:p>
    <w:p w14:paraId="0BEDE1F2" w14:textId="59B7E06D" w:rsidR="005059A8" w:rsidRDefault="005059A8" w:rsidP="00A158CE">
      <w:pPr>
        <w:jc w:val="both"/>
      </w:pPr>
    </w:p>
    <w:p w14:paraId="7E29AC21" w14:textId="2D8B6652" w:rsidR="005059A8" w:rsidRDefault="005059A8" w:rsidP="00A158CE">
      <w:pPr>
        <w:jc w:val="both"/>
      </w:pPr>
    </w:p>
    <w:p w14:paraId="57E1195A" w14:textId="43767A20" w:rsidR="005059A8" w:rsidRDefault="005059A8" w:rsidP="00A158CE">
      <w:pPr>
        <w:jc w:val="both"/>
      </w:pPr>
    </w:p>
    <w:p w14:paraId="3337E675" w14:textId="2E03EAE6" w:rsidR="005059A8" w:rsidRDefault="005059A8" w:rsidP="00A158CE">
      <w:pPr>
        <w:jc w:val="both"/>
      </w:pPr>
    </w:p>
    <w:p w14:paraId="67575614" w14:textId="4063BF05" w:rsidR="005059A8" w:rsidRDefault="005059A8" w:rsidP="00A158CE">
      <w:pPr>
        <w:jc w:val="both"/>
      </w:pPr>
    </w:p>
    <w:p w14:paraId="4DA3F47D" w14:textId="2EBE44C8" w:rsidR="005059A8" w:rsidRDefault="005059A8" w:rsidP="00A158CE">
      <w:pPr>
        <w:jc w:val="both"/>
      </w:pPr>
    </w:p>
    <w:p w14:paraId="546178A2" w14:textId="19AF1E92" w:rsidR="005059A8" w:rsidRDefault="005059A8" w:rsidP="00A158CE">
      <w:pPr>
        <w:jc w:val="both"/>
      </w:pPr>
    </w:p>
    <w:p w14:paraId="6E34921D" w14:textId="36A04FFF" w:rsidR="005059A8" w:rsidRDefault="005059A8" w:rsidP="00A158CE">
      <w:pPr>
        <w:jc w:val="both"/>
      </w:pPr>
    </w:p>
    <w:p w14:paraId="3F29BB75" w14:textId="275DD74A" w:rsidR="005059A8" w:rsidRDefault="005059A8" w:rsidP="00A158CE">
      <w:pPr>
        <w:jc w:val="both"/>
      </w:pPr>
    </w:p>
    <w:p w14:paraId="5618F6D1" w14:textId="532295A4" w:rsidR="005059A8" w:rsidRDefault="005059A8" w:rsidP="00A158CE">
      <w:pPr>
        <w:jc w:val="both"/>
      </w:pPr>
    </w:p>
    <w:p w14:paraId="70D397C8" w14:textId="5409A4E8" w:rsidR="005059A8" w:rsidRDefault="005059A8" w:rsidP="00A158CE">
      <w:pPr>
        <w:jc w:val="both"/>
      </w:pPr>
    </w:p>
    <w:p w14:paraId="11083F89" w14:textId="24678281" w:rsidR="005059A8" w:rsidRDefault="005059A8" w:rsidP="00A158CE">
      <w:pPr>
        <w:jc w:val="both"/>
      </w:pPr>
    </w:p>
    <w:p w14:paraId="32064A0F" w14:textId="4989C42F" w:rsidR="005059A8" w:rsidRDefault="005059A8" w:rsidP="00A158CE">
      <w:pPr>
        <w:jc w:val="both"/>
      </w:pPr>
    </w:p>
    <w:p w14:paraId="45381FBB" w14:textId="30BB0AA0" w:rsidR="005059A8" w:rsidRDefault="005059A8" w:rsidP="00A158CE">
      <w:pPr>
        <w:jc w:val="both"/>
      </w:pPr>
    </w:p>
    <w:p w14:paraId="12935A65" w14:textId="781936CE" w:rsidR="005059A8" w:rsidRDefault="005059A8" w:rsidP="00A158CE">
      <w:pPr>
        <w:jc w:val="both"/>
      </w:pPr>
    </w:p>
    <w:p w14:paraId="7A58668E" w14:textId="73B0C9B9" w:rsidR="005059A8" w:rsidRDefault="005059A8" w:rsidP="00A158CE">
      <w:pPr>
        <w:jc w:val="both"/>
      </w:pPr>
    </w:p>
    <w:p w14:paraId="6037C168" w14:textId="12C3EDA8" w:rsidR="005059A8" w:rsidRDefault="005059A8" w:rsidP="00A158CE">
      <w:pPr>
        <w:jc w:val="both"/>
      </w:pPr>
    </w:p>
    <w:p w14:paraId="0180F863" w14:textId="2D4D0390" w:rsidR="005059A8" w:rsidRDefault="005059A8" w:rsidP="00A158CE">
      <w:pPr>
        <w:jc w:val="both"/>
      </w:pPr>
    </w:p>
    <w:p w14:paraId="7E8E7DA8" w14:textId="7057B8D3" w:rsidR="005059A8" w:rsidRDefault="005059A8" w:rsidP="00A158CE">
      <w:pPr>
        <w:jc w:val="both"/>
      </w:pPr>
    </w:p>
    <w:p w14:paraId="705A6791" w14:textId="3CC70646" w:rsidR="005059A8" w:rsidRDefault="005059A8" w:rsidP="00A158CE">
      <w:pPr>
        <w:jc w:val="both"/>
      </w:pPr>
    </w:p>
    <w:p w14:paraId="3A488F76" w14:textId="761F5985" w:rsidR="005059A8" w:rsidRDefault="005059A8" w:rsidP="00A158CE">
      <w:pPr>
        <w:jc w:val="both"/>
      </w:pPr>
    </w:p>
    <w:p w14:paraId="2BBA4937" w14:textId="672CF699" w:rsidR="005059A8" w:rsidRDefault="005059A8" w:rsidP="00A158CE">
      <w:pPr>
        <w:jc w:val="both"/>
      </w:pPr>
    </w:p>
    <w:p w14:paraId="42FD366E" w14:textId="3F0A74BD" w:rsidR="005059A8" w:rsidRDefault="005059A8" w:rsidP="00A158CE">
      <w:pPr>
        <w:jc w:val="both"/>
      </w:pPr>
    </w:p>
    <w:p w14:paraId="0F2D48A3" w14:textId="0826E8D0" w:rsidR="005059A8" w:rsidRDefault="005059A8" w:rsidP="00A158CE">
      <w:pPr>
        <w:jc w:val="both"/>
      </w:pPr>
    </w:p>
    <w:p w14:paraId="57BE3174" w14:textId="0B115AFC" w:rsidR="005059A8" w:rsidRDefault="005059A8" w:rsidP="00A158CE">
      <w:pPr>
        <w:jc w:val="both"/>
      </w:pPr>
    </w:p>
    <w:p w14:paraId="33DC2427" w14:textId="77777777" w:rsidR="005059A8" w:rsidRDefault="005059A8" w:rsidP="00A158CE">
      <w:pPr>
        <w:jc w:val="both"/>
      </w:pPr>
    </w:p>
    <w:p w14:paraId="51357618" w14:textId="77777777" w:rsidR="000A7044" w:rsidRDefault="00024A27" w:rsidP="00A158CE">
      <w:pPr>
        <w:pStyle w:val="Style2"/>
        <w:jc w:val="both"/>
      </w:pPr>
      <w:bookmarkStart w:id="12" w:name="_Toc45203635"/>
      <w:r w:rsidRPr="00024A27">
        <w:lastRenderedPageBreak/>
        <w:t xml:space="preserve">Higher Education Business &amp; Community Interaction survey </w:t>
      </w:r>
      <w:r>
        <w:t>(HE-BCI) and the Knowledge</w:t>
      </w:r>
      <w:r w:rsidR="00DB02AF">
        <w:t xml:space="preserve"> Excellence Framework (</w:t>
      </w:r>
      <w:r>
        <w:t>K</w:t>
      </w:r>
      <w:r w:rsidR="00DB02AF">
        <w:t>EF) Review</w:t>
      </w:r>
      <w:bookmarkEnd w:id="12"/>
    </w:p>
    <w:p w14:paraId="0B006624" w14:textId="77777777" w:rsidR="00DB02AF" w:rsidRDefault="00DB02AF" w:rsidP="00A158CE">
      <w:pPr>
        <w:jc w:val="both"/>
      </w:pPr>
    </w:p>
    <w:p w14:paraId="295B2A60" w14:textId="77777777" w:rsidR="000A7044" w:rsidRDefault="00024A27" w:rsidP="00A158CE">
      <w:pPr>
        <w:jc w:val="both"/>
      </w:pPr>
      <w:r w:rsidRPr="00024A27">
        <w:t>UK HEIs collect graduate start-up data through routinely collected data surveys such as Higher Education Business &amp; C</w:t>
      </w:r>
      <w:r>
        <w:t>ommunity Interaction survey (HE-</w:t>
      </w:r>
      <w:r w:rsidRPr="00024A27">
        <w:t xml:space="preserve">BCI). It should be noted that some HEIs </w:t>
      </w:r>
      <w:r w:rsidR="004F640B">
        <w:t>which</w:t>
      </w:r>
      <w:r w:rsidRPr="00024A27">
        <w:t xml:space="preserve"> are known to actively support student or graduate business start-up do not currently submit HE-BCI data.</w:t>
      </w:r>
    </w:p>
    <w:p w14:paraId="297580AA" w14:textId="77777777" w:rsidR="00DB02AF" w:rsidRDefault="00DB02AF" w:rsidP="00A158CE">
      <w:pPr>
        <w:jc w:val="both"/>
      </w:pPr>
    </w:p>
    <w:p w14:paraId="4AC4ACBB" w14:textId="77777777" w:rsidR="00D52DE3" w:rsidRDefault="00024A27" w:rsidP="00A158CE">
      <w:pPr>
        <w:jc w:val="both"/>
      </w:pPr>
      <w:r w:rsidRPr="00024A27">
        <w:t>University-led submission of verified data relating to graduate spin-outs (start-ups)</w:t>
      </w:r>
      <w:r>
        <w:t xml:space="preserve"> is returned annually. </w:t>
      </w:r>
    </w:p>
    <w:p w14:paraId="47113AC1" w14:textId="77777777" w:rsidR="00D52DE3" w:rsidRDefault="00D52DE3" w:rsidP="00A158CE">
      <w:pPr>
        <w:jc w:val="both"/>
      </w:pPr>
    </w:p>
    <w:p w14:paraId="1BD5C0CB" w14:textId="7623661C" w:rsidR="00DB02AF" w:rsidRDefault="00024A27" w:rsidP="00A158CE">
      <w:pPr>
        <w:jc w:val="both"/>
      </w:pPr>
      <w:r>
        <w:t>The following data is requested:</w:t>
      </w:r>
    </w:p>
    <w:p w14:paraId="7251E6B6" w14:textId="77777777" w:rsidR="00024A27" w:rsidRDefault="00024A27" w:rsidP="00A158CE">
      <w:pPr>
        <w:jc w:val="both"/>
      </w:pPr>
    </w:p>
    <w:p w14:paraId="4B0CD272" w14:textId="7B07DE3E" w:rsidR="00024A27" w:rsidRDefault="00024A27" w:rsidP="00A158CE">
      <w:pPr>
        <w:pStyle w:val="ListParagraph"/>
        <w:numPr>
          <w:ilvl w:val="0"/>
          <w:numId w:val="24"/>
        </w:numPr>
        <w:jc w:val="both"/>
      </w:pPr>
      <w:r>
        <w:t>Number of new start-ups created</w:t>
      </w:r>
      <w:r w:rsidR="00D52DE3">
        <w:t>;</w:t>
      </w:r>
    </w:p>
    <w:p w14:paraId="45F242D8" w14:textId="77E5F272" w:rsidR="00024A27" w:rsidRDefault="00024A27" w:rsidP="00A158CE">
      <w:pPr>
        <w:pStyle w:val="ListParagraph"/>
        <w:numPr>
          <w:ilvl w:val="0"/>
          <w:numId w:val="24"/>
        </w:numPr>
        <w:jc w:val="both"/>
      </w:pPr>
      <w:r>
        <w:t>Number of start-ups still active which have survived at least 3 years</w:t>
      </w:r>
      <w:r w:rsidR="00D52DE3">
        <w:t>;</w:t>
      </w:r>
    </w:p>
    <w:p w14:paraId="79FB33BA" w14:textId="1B75278D" w:rsidR="00024A27" w:rsidRDefault="00024A27" w:rsidP="00A158CE">
      <w:pPr>
        <w:pStyle w:val="ListParagraph"/>
        <w:numPr>
          <w:ilvl w:val="0"/>
          <w:numId w:val="24"/>
        </w:numPr>
        <w:jc w:val="both"/>
      </w:pPr>
      <w:r>
        <w:t>Number of active firms</w:t>
      </w:r>
      <w:r w:rsidR="00D52DE3">
        <w:t>;</w:t>
      </w:r>
      <w:r>
        <w:t xml:space="preserve"> </w:t>
      </w:r>
    </w:p>
    <w:p w14:paraId="34FC6FEA" w14:textId="787B1054" w:rsidR="00024A27" w:rsidRDefault="00024A27" w:rsidP="00A158CE">
      <w:pPr>
        <w:pStyle w:val="ListParagraph"/>
        <w:numPr>
          <w:ilvl w:val="0"/>
          <w:numId w:val="24"/>
        </w:numPr>
        <w:jc w:val="both"/>
      </w:pPr>
      <w:r>
        <w:t xml:space="preserve">Estimated current employment </w:t>
      </w:r>
      <w:r w:rsidR="00F46623">
        <w:t>(FTE)</w:t>
      </w:r>
      <w:r w:rsidR="00D52DE3">
        <w:t>;</w:t>
      </w:r>
    </w:p>
    <w:p w14:paraId="535E3BE6" w14:textId="425A26F3" w:rsidR="00024A27" w:rsidRDefault="00024A27" w:rsidP="00A158CE">
      <w:pPr>
        <w:pStyle w:val="ListParagraph"/>
        <w:numPr>
          <w:ilvl w:val="0"/>
          <w:numId w:val="24"/>
        </w:numPr>
        <w:jc w:val="both"/>
      </w:pPr>
      <w:r>
        <w:t>Estimated current turnover</w:t>
      </w:r>
      <w:r w:rsidR="00D52DE3">
        <w:t>; and</w:t>
      </w:r>
    </w:p>
    <w:p w14:paraId="612CC2DD" w14:textId="17951305" w:rsidR="00DB02AF" w:rsidRDefault="00024A27" w:rsidP="00A158CE">
      <w:pPr>
        <w:pStyle w:val="ListParagraph"/>
        <w:numPr>
          <w:ilvl w:val="0"/>
          <w:numId w:val="24"/>
        </w:numPr>
        <w:jc w:val="both"/>
      </w:pPr>
      <w:r>
        <w:t>Estimated external investment</w:t>
      </w:r>
      <w:r w:rsidR="00D52DE3">
        <w:t>.</w:t>
      </w:r>
    </w:p>
    <w:p w14:paraId="0D3C9019" w14:textId="77777777" w:rsidR="00DB02AF" w:rsidRDefault="00DB02AF" w:rsidP="00A158CE">
      <w:pPr>
        <w:jc w:val="both"/>
      </w:pPr>
    </w:p>
    <w:p w14:paraId="6770D390" w14:textId="77777777" w:rsidR="004F640B" w:rsidRDefault="004F640B" w:rsidP="00A158CE">
      <w:pPr>
        <w:jc w:val="both"/>
      </w:pPr>
      <w:r>
        <w:t xml:space="preserve">Graduate spin-out data from HE-BCI is not currently included in the Higher Education Innovation Fund funding formula, unlike other items of the HE-BCI return. However, the </w:t>
      </w:r>
      <w:r w:rsidRPr="004F640B">
        <w:t>recently launched KEF will use the HE-BCI reported graduate</w:t>
      </w:r>
      <w:r>
        <w:t xml:space="preserve"> start-ups rate by student FTE and i</w:t>
      </w:r>
      <w:r w:rsidRPr="004F640B">
        <w:t>t was announced in January that full participation in the KEF is likely to become a condition of Research England funding from the academic year 2020/21</w:t>
      </w:r>
      <w:r>
        <w:rPr>
          <w:rStyle w:val="FootnoteReference"/>
        </w:rPr>
        <w:footnoteReference w:id="11"/>
      </w:r>
      <w:r w:rsidRPr="004F640B">
        <w:t>. This may make graduate start-up activity and submission of related outcomes more of a priority for HEIs i</w:t>
      </w:r>
      <w:r>
        <w:t>n the future.</w:t>
      </w:r>
    </w:p>
    <w:p w14:paraId="0921C756" w14:textId="77777777" w:rsidR="004F640B" w:rsidRDefault="004F640B" w:rsidP="00A158CE">
      <w:pPr>
        <w:jc w:val="both"/>
      </w:pPr>
    </w:p>
    <w:p w14:paraId="6FE8DE6B" w14:textId="77777777" w:rsidR="004F640B" w:rsidRDefault="004F640B" w:rsidP="00A158CE">
      <w:pPr>
        <w:jc w:val="both"/>
      </w:pPr>
      <w:r>
        <w:t xml:space="preserve">The metric to be used in the KEF is likely to be a ratio of the number of new start-ups created by the student FTE for the institution. </w:t>
      </w:r>
    </w:p>
    <w:p w14:paraId="2E806B4E" w14:textId="77777777" w:rsidR="004F640B" w:rsidRDefault="004F640B" w:rsidP="00A158CE">
      <w:pPr>
        <w:jc w:val="both"/>
      </w:pPr>
    </w:p>
    <w:p w14:paraId="0FA15B04" w14:textId="77777777" w:rsidR="004F640B" w:rsidRDefault="004F640B" w:rsidP="27C74852">
      <w:pPr>
        <w:pStyle w:val="Style3"/>
        <w:numPr>
          <w:ilvl w:val="1"/>
          <w:numId w:val="4"/>
        </w:numPr>
        <w:ind w:left="426" w:hanging="426"/>
        <w:jc w:val="both"/>
        <w:rPr>
          <w:rFonts w:asciiTheme="minorHAnsi" w:eastAsiaTheme="minorEastAsia" w:hAnsiTheme="minorHAnsi"/>
          <w:szCs w:val="20"/>
        </w:rPr>
      </w:pPr>
      <w:bookmarkStart w:id="13" w:name="_Toc45203636"/>
      <w:r>
        <w:t>Action to date</w:t>
      </w:r>
      <w:bookmarkEnd w:id="13"/>
    </w:p>
    <w:p w14:paraId="3C2D6D76" w14:textId="77777777" w:rsidR="004F640B" w:rsidRDefault="004F640B" w:rsidP="00A158CE">
      <w:pPr>
        <w:jc w:val="both"/>
      </w:pPr>
    </w:p>
    <w:p w14:paraId="35CD2CDF" w14:textId="77777777" w:rsidR="00F46623" w:rsidRDefault="004F640B" w:rsidP="00A158CE">
      <w:pPr>
        <w:jc w:val="both"/>
      </w:pPr>
      <w:r>
        <w:t xml:space="preserve">HE-BCI submissions for </w:t>
      </w:r>
      <w:r w:rsidR="00D9181D">
        <w:t>2014/2015 to 20</w:t>
      </w:r>
      <w:r>
        <w:t>17/</w:t>
      </w:r>
      <w:r w:rsidR="00D9181D">
        <w:t>20</w:t>
      </w:r>
      <w:r>
        <w:t>18</w:t>
      </w:r>
      <w:r w:rsidR="00D9181D">
        <w:rPr>
          <w:rStyle w:val="FootnoteReference"/>
        </w:rPr>
        <w:footnoteReference w:id="12"/>
      </w:r>
      <w:r>
        <w:t xml:space="preserve"> and the associated number of student FTEs</w:t>
      </w:r>
      <w:r w:rsidR="00D9181D">
        <w:rPr>
          <w:rStyle w:val="FootnoteReference"/>
        </w:rPr>
        <w:footnoteReference w:id="13"/>
      </w:r>
      <w:r>
        <w:t xml:space="preserve"> were obtained from HESA.</w:t>
      </w:r>
      <w:r w:rsidR="00D9181D">
        <w:t xml:space="preserve"> </w:t>
      </w:r>
    </w:p>
    <w:p w14:paraId="551DFA59" w14:textId="77777777" w:rsidR="00F46623" w:rsidRDefault="00F46623" w:rsidP="00A158CE">
      <w:pPr>
        <w:jc w:val="both"/>
      </w:pPr>
    </w:p>
    <w:p w14:paraId="7A1A0072" w14:textId="77777777" w:rsidR="004F640B" w:rsidRDefault="00D9181D" w:rsidP="00A158CE">
      <w:pPr>
        <w:jc w:val="both"/>
      </w:pPr>
      <w:r>
        <w:t xml:space="preserve">It is not clear from the </w:t>
      </w:r>
      <w:r w:rsidR="006564F3">
        <w:t xml:space="preserve">published </w:t>
      </w:r>
      <w:r>
        <w:t>KEF information which year of student FTE will be used in relation to which HE-BCI return year</w:t>
      </w:r>
      <w:r w:rsidR="006564F3">
        <w:t>, and whether all students or a sub-set of specific student groups will be included in the student FTE figure</w:t>
      </w:r>
      <w:r w:rsidR="00F46623">
        <w:t xml:space="preserve">. It is important to </w:t>
      </w:r>
      <w:r>
        <w:t>note that HE-BCI re</w:t>
      </w:r>
      <w:r w:rsidR="00984DFE">
        <w:t xml:space="preserve">lates to </w:t>
      </w:r>
      <w:r w:rsidR="006564F3">
        <w:t xml:space="preserve">both </w:t>
      </w:r>
      <w:r w:rsidR="00984DFE">
        <w:t xml:space="preserve">undergraduate students and graduates </w:t>
      </w:r>
      <w:r w:rsidR="006564F3">
        <w:t xml:space="preserve">(who have been activity supported by an institution) </w:t>
      </w:r>
      <w:r>
        <w:t>whereas student FTE relates to enrolled students only</w:t>
      </w:r>
      <w:r w:rsidR="00F46623">
        <w:t>. The total student FTE includes non-EU international students who are not able to start up a business whilst a student due to visa restrictions; non-EU international graduates can apply for a visa to start-up a business with university support</w:t>
      </w:r>
      <w:r w:rsidR="006564F3">
        <w:t>,</w:t>
      </w:r>
      <w:r w:rsidR="00F46623">
        <w:t xml:space="preserve"> however</w:t>
      </w:r>
      <w:r>
        <w:t xml:space="preserve">. </w:t>
      </w:r>
      <w:r w:rsidR="00984DFE">
        <w:t>The student FTE (total studying at all levels</w:t>
      </w:r>
      <w:r w:rsidR="00F46623">
        <w:t xml:space="preserve"> and fee status</w:t>
      </w:r>
      <w:r w:rsidR="00984DFE">
        <w:t>) for the year of the HE-BCI return</w:t>
      </w:r>
      <w:r w:rsidR="00E91C48">
        <w:t xml:space="preserve"> has been used as a proxy here (</w:t>
      </w:r>
      <w:r w:rsidR="00984DFE">
        <w:t>i.e. the 2017/2018 HE-BCI return will be matched with the 2017/2018 total student FTE numbers).</w:t>
      </w:r>
    </w:p>
    <w:p w14:paraId="529006A1" w14:textId="77777777" w:rsidR="00984DFE" w:rsidRDefault="00984DFE" w:rsidP="00A158CE">
      <w:pPr>
        <w:jc w:val="both"/>
      </w:pPr>
    </w:p>
    <w:p w14:paraId="61C58035" w14:textId="7F0727BC" w:rsidR="005059A8" w:rsidRDefault="005059A8" w:rsidP="08928105">
      <w:pPr>
        <w:jc w:val="both"/>
      </w:pPr>
      <w:r>
        <w:t>Table 4 (overleaf) gives the reported levels of activity for the six HE-BCI items related to student and graduate entrepreneurship. The number of institutions making a return for each of the items is given in Table 5</w:t>
      </w:r>
      <w:r w:rsidR="00864E34">
        <w:t xml:space="preserve"> (overleaf)</w:t>
      </w:r>
      <w:r>
        <w:t>. Of the 167 institutions in 2017/2018, 108 returned a number of new starts whereas only 66 reported an estimate of external investment.</w:t>
      </w:r>
      <w:r w:rsidR="68C55F63">
        <w:t xml:space="preserve"> </w:t>
      </w:r>
      <w:r w:rsidR="68C55F63" w:rsidRPr="2A0208F7">
        <w:rPr>
          <w:rFonts w:eastAsia="Arial" w:cs="Arial"/>
        </w:rPr>
        <w:t>Table 6</w:t>
      </w:r>
      <w:r w:rsidR="6CF1C991" w:rsidRPr="2A0208F7">
        <w:rPr>
          <w:rFonts w:eastAsia="Arial" w:cs="Arial"/>
        </w:rPr>
        <w:t xml:space="preserve"> </w:t>
      </w:r>
      <w:r w:rsidR="1BF49D1F" w:rsidRPr="2A0208F7">
        <w:rPr>
          <w:rFonts w:eastAsia="Arial" w:cs="Arial"/>
        </w:rPr>
        <w:t>(overleaf)</w:t>
      </w:r>
      <w:r w:rsidR="68C55F63" w:rsidRPr="2A0208F7">
        <w:rPr>
          <w:rFonts w:eastAsia="Arial" w:cs="Arial"/>
        </w:rPr>
        <w:t xml:space="preserve"> presents the mean, median, and range statistics for each item in 2017/218.</w:t>
      </w:r>
    </w:p>
    <w:p w14:paraId="70D44EFD" w14:textId="77777777" w:rsidR="005059A8" w:rsidRDefault="005059A8" w:rsidP="005059A8">
      <w:pPr>
        <w:jc w:val="both"/>
      </w:pPr>
    </w:p>
    <w:p w14:paraId="1BE722AB" w14:textId="17A9262F" w:rsidR="005059A8" w:rsidRDefault="005059A8" w:rsidP="005059A8">
      <w:pPr>
        <w:jc w:val="both"/>
      </w:pPr>
      <w:r>
        <w:t xml:space="preserve">It can be seen from Table 4 that the number of new-starts per year has been relatively constant for the four years presented at around 4,000 business each year. This equates to a mean average of </w:t>
      </w:r>
      <w:r w:rsidR="0DED9C9D">
        <w:t>3</w:t>
      </w:r>
      <w:r w:rsidR="167471FA">
        <w:t>8</w:t>
      </w:r>
      <w:r>
        <w:t xml:space="preserve">.3 new starts per returning institution in 2017/2018. Active companies reportedly employed an estimated average of 1.9 FTE employees, and had an average estimated turnover of £53,506. </w:t>
      </w:r>
    </w:p>
    <w:p w14:paraId="3CB080A9" w14:textId="5A44A7D6" w:rsidR="005059A8" w:rsidRDefault="005059A8" w:rsidP="00A158CE">
      <w:pPr>
        <w:jc w:val="both"/>
        <w:rPr>
          <w:color w:val="1F4E79" w:themeColor="accent1" w:themeShade="80"/>
          <w:sz w:val="18"/>
        </w:rPr>
      </w:pPr>
    </w:p>
    <w:p w14:paraId="16E7B1C8" w14:textId="519C14DB" w:rsidR="005059A8" w:rsidRDefault="005059A8" w:rsidP="00A158CE">
      <w:pPr>
        <w:jc w:val="both"/>
        <w:rPr>
          <w:color w:val="1F4E79" w:themeColor="accent1" w:themeShade="80"/>
          <w:sz w:val="18"/>
        </w:rPr>
      </w:pPr>
    </w:p>
    <w:p w14:paraId="4D64F283" w14:textId="77777777" w:rsidR="005059A8" w:rsidRDefault="005059A8" w:rsidP="00A158CE">
      <w:pPr>
        <w:jc w:val="both"/>
        <w:rPr>
          <w:color w:val="1F4E79" w:themeColor="accent1" w:themeShade="80"/>
          <w:sz w:val="18"/>
        </w:rPr>
      </w:pPr>
    </w:p>
    <w:p w14:paraId="7A5B3A02" w14:textId="69DA7F21" w:rsidR="004F640B" w:rsidRDefault="00984DFE" w:rsidP="00A158CE">
      <w:pPr>
        <w:jc w:val="both"/>
        <w:rPr>
          <w:color w:val="1F4E79" w:themeColor="accent1" w:themeShade="80"/>
          <w:sz w:val="18"/>
        </w:rPr>
      </w:pPr>
      <w:r w:rsidRPr="00984DFE">
        <w:rPr>
          <w:color w:val="1F4E79" w:themeColor="accent1" w:themeShade="80"/>
          <w:sz w:val="18"/>
        </w:rPr>
        <w:t xml:space="preserve">Table </w:t>
      </w:r>
      <w:r>
        <w:rPr>
          <w:color w:val="1F4E79" w:themeColor="accent1" w:themeShade="80"/>
          <w:sz w:val="18"/>
        </w:rPr>
        <w:t>4</w:t>
      </w:r>
      <w:r w:rsidRPr="00984DFE">
        <w:rPr>
          <w:color w:val="1F4E79" w:themeColor="accent1" w:themeShade="80"/>
          <w:sz w:val="18"/>
        </w:rPr>
        <w:t xml:space="preserve">: </w:t>
      </w:r>
      <w:r w:rsidR="00F46623">
        <w:rPr>
          <w:color w:val="1F4E79" w:themeColor="accent1" w:themeShade="80"/>
          <w:sz w:val="18"/>
        </w:rPr>
        <w:t>HE-BCI graduate spin-out returns and student FTE from 2014/2015 to 2017/2018</w:t>
      </w:r>
    </w:p>
    <w:p w14:paraId="18CD51AB" w14:textId="77777777" w:rsidR="00F46623" w:rsidRDefault="00F46623" w:rsidP="00A158CE">
      <w:pPr>
        <w:jc w:val="both"/>
        <w:rPr>
          <w:color w:val="1F4E79" w:themeColor="accent1" w:themeShade="80"/>
          <w:sz w:val="18"/>
        </w:rPr>
      </w:pPr>
    </w:p>
    <w:tbl>
      <w:tblPr>
        <w:tblStyle w:val="TableGrid"/>
        <w:tblW w:w="9157" w:type="dxa"/>
        <w:tblLook w:val="04A0" w:firstRow="1" w:lastRow="0" w:firstColumn="1" w:lastColumn="0" w:noHBand="0" w:noVBand="1"/>
      </w:tblPr>
      <w:tblGrid>
        <w:gridCol w:w="1920"/>
        <w:gridCol w:w="1225"/>
        <w:gridCol w:w="1503"/>
        <w:gridCol w:w="1503"/>
        <w:gridCol w:w="1503"/>
        <w:gridCol w:w="1503"/>
      </w:tblGrid>
      <w:tr w:rsidR="00F46623" w14:paraId="686759D9" w14:textId="77777777" w:rsidTr="7030D1C2">
        <w:tc>
          <w:tcPr>
            <w:tcW w:w="1920" w:type="dxa"/>
            <w:tcBorders>
              <w:top w:val="nil"/>
              <w:left w:val="nil"/>
            </w:tcBorders>
          </w:tcPr>
          <w:p w14:paraId="17C2D92D" w14:textId="77777777" w:rsidR="00F46623" w:rsidRPr="00F46623" w:rsidRDefault="00F46623" w:rsidP="00A158CE">
            <w:pPr>
              <w:spacing w:before="60" w:after="60"/>
              <w:jc w:val="both"/>
              <w:rPr>
                <w:sz w:val="18"/>
              </w:rPr>
            </w:pPr>
          </w:p>
        </w:tc>
        <w:tc>
          <w:tcPr>
            <w:tcW w:w="1225" w:type="dxa"/>
          </w:tcPr>
          <w:p w14:paraId="291254D6" w14:textId="77777777" w:rsidR="00F46623" w:rsidRPr="00E91C48" w:rsidRDefault="00F46623" w:rsidP="619EA3ED">
            <w:pPr>
              <w:spacing w:before="60" w:after="60"/>
              <w:jc w:val="center"/>
              <w:rPr>
                <w:b/>
                <w:bCs/>
                <w:sz w:val="18"/>
                <w:szCs w:val="18"/>
              </w:rPr>
            </w:pPr>
            <w:r w:rsidRPr="619EA3ED">
              <w:rPr>
                <w:b/>
                <w:bCs/>
                <w:sz w:val="18"/>
                <w:szCs w:val="18"/>
              </w:rPr>
              <w:t>2014/2015</w:t>
            </w:r>
          </w:p>
        </w:tc>
        <w:tc>
          <w:tcPr>
            <w:tcW w:w="1503" w:type="dxa"/>
          </w:tcPr>
          <w:p w14:paraId="3F4D6624" w14:textId="77777777" w:rsidR="00F46623" w:rsidRPr="00E91C48" w:rsidRDefault="00F46623" w:rsidP="619EA3ED">
            <w:pPr>
              <w:spacing w:before="60" w:after="60"/>
              <w:jc w:val="center"/>
              <w:rPr>
                <w:b/>
                <w:bCs/>
                <w:sz w:val="18"/>
                <w:szCs w:val="18"/>
              </w:rPr>
            </w:pPr>
            <w:r w:rsidRPr="619EA3ED">
              <w:rPr>
                <w:b/>
                <w:bCs/>
                <w:sz w:val="18"/>
                <w:szCs w:val="18"/>
              </w:rPr>
              <w:t>2015/2016</w:t>
            </w:r>
          </w:p>
        </w:tc>
        <w:tc>
          <w:tcPr>
            <w:tcW w:w="1503" w:type="dxa"/>
          </w:tcPr>
          <w:p w14:paraId="17544919" w14:textId="77777777" w:rsidR="00F46623" w:rsidRPr="00E91C48" w:rsidRDefault="00F46623" w:rsidP="619EA3ED">
            <w:pPr>
              <w:spacing w:before="60" w:after="60"/>
              <w:jc w:val="center"/>
              <w:rPr>
                <w:b/>
                <w:bCs/>
                <w:sz w:val="18"/>
                <w:szCs w:val="18"/>
              </w:rPr>
            </w:pPr>
            <w:r w:rsidRPr="619EA3ED">
              <w:rPr>
                <w:b/>
                <w:bCs/>
                <w:sz w:val="18"/>
                <w:szCs w:val="18"/>
              </w:rPr>
              <w:t>2016/2017</w:t>
            </w:r>
          </w:p>
        </w:tc>
        <w:tc>
          <w:tcPr>
            <w:tcW w:w="1503" w:type="dxa"/>
          </w:tcPr>
          <w:p w14:paraId="17850BA4" w14:textId="77777777" w:rsidR="00F46623" w:rsidRPr="00E91C48" w:rsidRDefault="00F46623" w:rsidP="619EA3ED">
            <w:pPr>
              <w:spacing w:before="60" w:after="60"/>
              <w:jc w:val="center"/>
              <w:rPr>
                <w:b/>
                <w:bCs/>
                <w:sz w:val="18"/>
                <w:szCs w:val="18"/>
              </w:rPr>
            </w:pPr>
            <w:r w:rsidRPr="619EA3ED">
              <w:rPr>
                <w:b/>
                <w:bCs/>
                <w:sz w:val="18"/>
                <w:szCs w:val="18"/>
              </w:rPr>
              <w:t>2017/2018</w:t>
            </w:r>
          </w:p>
        </w:tc>
        <w:tc>
          <w:tcPr>
            <w:tcW w:w="1503" w:type="dxa"/>
          </w:tcPr>
          <w:p w14:paraId="661C57F6" w14:textId="77777777" w:rsidR="00F46623" w:rsidRPr="00E91C48" w:rsidRDefault="00F46623" w:rsidP="619EA3ED">
            <w:pPr>
              <w:spacing w:before="60" w:after="60"/>
              <w:jc w:val="center"/>
              <w:rPr>
                <w:b/>
                <w:bCs/>
                <w:sz w:val="18"/>
                <w:szCs w:val="18"/>
              </w:rPr>
            </w:pPr>
            <w:r w:rsidRPr="619EA3ED">
              <w:rPr>
                <w:b/>
                <w:bCs/>
                <w:sz w:val="18"/>
                <w:szCs w:val="18"/>
              </w:rPr>
              <w:t>Total</w:t>
            </w:r>
          </w:p>
        </w:tc>
      </w:tr>
      <w:tr w:rsidR="00F46623" w14:paraId="4C872CE9" w14:textId="77777777" w:rsidTr="7030D1C2">
        <w:tc>
          <w:tcPr>
            <w:tcW w:w="1920" w:type="dxa"/>
          </w:tcPr>
          <w:p w14:paraId="5FEEBFBC" w14:textId="7EF919C7" w:rsidR="00F46623" w:rsidRPr="00E91C48" w:rsidRDefault="00F46623" w:rsidP="00A158CE">
            <w:pPr>
              <w:spacing w:before="60" w:after="60"/>
              <w:jc w:val="both"/>
              <w:rPr>
                <w:b/>
                <w:sz w:val="18"/>
                <w:szCs w:val="18"/>
              </w:rPr>
            </w:pPr>
            <w:r w:rsidRPr="7030D1C2">
              <w:rPr>
                <w:b/>
                <w:sz w:val="18"/>
                <w:szCs w:val="18"/>
              </w:rPr>
              <w:t xml:space="preserve">New starts </w:t>
            </w:r>
            <w:r w:rsidR="28BB87F7" w:rsidRPr="7030D1C2">
              <w:rPr>
                <w:b/>
                <w:bCs/>
                <w:sz w:val="18"/>
                <w:szCs w:val="18"/>
              </w:rPr>
              <w:t>(N)</w:t>
            </w:r>
          </w:p>
        </w:tc>
        <w:tc>
          <w:tcPr>
            <w:tcW w:w="1225" w:type="dxa"/>
          </w:tcPr>
          <w:p w14:paraId="653E6A55" w14:textId="77777777" w:rsidR="00F46623" w:rsidRPr="00F46623" w:rsidRDefault="00F46623" w:rsidP="619EA3ED">
            <w:pPr>
              <w:spacing w:before="60" w:after="60"/>
              <w:jc w:val="center"/>
              <w:rPr>
                <w:sz w:val="18"/>
                <w:szCs w:val="18"/>
              </w:rPr>
            </w:pPr>
            <w:r w:rsidRPr="619EA3ED">
              <w:rPr>
                <w:sz w:val="18"/>
                <w:szCs w:val="18"/>
              </w:rPr>
              <w:t>4</w:t>
            </w:r>
            <w:r w:rsidR="00E91C48" w:rsidRPr="619EA3ED">
              <w:rPr>
                <w:sz w:val="18"/>
                <w:szCs w:val="18"/>
              </w:rPr>
              <w:t>,</w:t>
            </w:r>
            <w:r w:rsidRPr="619EA3ED">
              <w:rPr>
                <w:sz w:val="18"/>
                <w:szCs w:val="18"/>
              </w:rPr>
              <w:t>124</w:t>
            </w:r>
          </w:p>
        </w:tc>
        <w:tc>
          <w:tcPr>
            <w:tcW w:w="1503" w:type="dxa"/>
          </w:tcPr>
          <w:p w14:paraId="26823352" w14:textId="77777777" w:rsidR="00F46623" w:rsidRPr="00F46623" w:rsidRDefault="00F46623" w:rsidP="619EA3ED">
            <w:pPr>
              <w:spacing w:before="60" w:after="60"/>
              <w:jc w:val="center"/>
              <w:rPr>
                <w:sz w:val="18"/>
                <w:szCs w:val="18"/>
              </w:rPr>
            </w:pPr>
            <w:r w:rsidRPr="619EA3ED">
              <w:rPr>
                <w:sz w:val="18"/>
                <w:szCs w:val="18"/>
              </w:rPr>
              <w:t>3</w:t>
            </w:r>
            <w:r w:rsidR="00E91C48" w:rsidRPr="619EA3ED">
              <w:rPr>
                <w:sz w:val="18"/>
                <w:szCs w:val="18"/>
              </w:rPr>
              <w:t>,</w:t>
            </w:r>
            <w:r w:rsidRPr="619EA3ED">
              <w:rPr>
                <w:sz w:val="18"/>
                <w:szCs w:val="18"/>
              </w:rPr>
              <w:t>905</w:t>
            </w:r>
          </w:p>
        </w:tc>
        <w:tc>
          <w:tcPr>
            <w:tcW w:w="1503" w:type="dxa"/>
          </w:tcPr>
          <w:p w14:paraId="6BF78E9A" w14:textId="77777777" w:rsidR="00F46623" w:rsidRPr="00F46623" w:rsidRDefault="00F46623" w:rsidP="619EA3ED">
            <w:pPr>
              <w:spacing w:before="60" w:after="60"/>
              <w:jc w:val="center"/>
              <w:rPr>
                <w:sz w:val="18"/>
                <w:szCs w:val="18"/>
              </w:rPr>
            </w:pPr>
            <w:r w:rsidRPr="619EA3ED">
              <w:rPr>
                <w:sz w:val="18"/>
                <w:szCs w:val="18"/>
              </w:rPr>
              <w:t>4</w:t>
            </w:r>
            <w:r w:rsidR="00E91C48" w:rsidRPr="619EA3ED">
              <w:rPr>
                <w:sz w:val="18"/>
                <w:szCs w:val="18"/>
              </w:rPr>
              <w:t>,</w:t>
            </w:r>
            <w:r w:rsidRPr="619EA3ED">
              <w:rPr>
                <w:sz w:val="18"/>
                <w:szCs w:val="18"/>
              </w:rPr>
              <w:t>149</w:t>
            </w:r>
          </w:p>
        </w:tc>
        <w:tc>
          <w:tcPr>
            <w:tcW w:w="1503" w:type="dxa"/>
          </w:tcPr>
          <w:p w14:paraId="1326A488" w14:textId="77777777" w:rsidR="00F46623" w:rsidRPr="00F46623" w:rsidRDefault="00F46623" w:rsidP="619EA3ED">
            <w:pPr>
              <w:spacing w:before="60" w:after="60"/>
              <w:jc w:val="center"/>
              <w:rPr>
                <w:sz w:val="18"/>
                <w:szCs w:val="18"/>
              </w:rPr>
            </w:pPr>
            <w:r w:rsidRPr="619EA3ED">
              <w:rPr>
                <w:sz w:val="18"/>
                <w:szCs w:val="18"/>
              </w:rPr>
              <w:t>4</w:t>
            </w:r>
            <w:r w:rsidR="00E91C48" w:rsidRPr="619EA3ED">
              <w:rPr>
                <w:sz w:val="18"/>
                <w:szCs w:val="18"/>
              </w:rPr>
              <w:t>,</w:t>
            </w:r>
            <w:r w:rsidRPr="619EA3ED">
              <w:rPr>
                <w:sz w:val="18"/>
                <w:szCs w:val="18"/>
              </w:rPr>
              <w:t>024</w:t>
            </w:r>
          </w:p>
        </w:tc>
        <w:tc>
          <w:tcPr>
            <w:tcW w:w="1503" w:type="dxa"/>
          </w:tcPr>
          <w:p w14:paraId="4C82AF2D" w14:textId="77777777" w:rsidR="00F46623" w:rsidRPr="00E91C48" w:rsidRDefault="00F46623" w:rsidP="619EA3ED">
            <w:pPr>
              <w:spacing w:before="60" w:after="60"/>
              <w:jc w:val="center"/>
              <w:rPr>
                <w:b/>
                <w:bCs/>
                <w:sz w:val="18"/>
                <w:szCs w:val="18"/>
              </w:rPr>
            </w:pPr>
            <w:r w:rsidRPr="619EA3ED">
              <w:rPr>
                <w:b/>
                <w:bCs/>
                <w:sz w:val="18"/>
                <w:szCs w:val="18"/>
              </w:rPr>
              <w:t>16</w:t>
            </w:r>
            <w:r w:rsidR="00E91C48" w:rsidRPr="619EA3ED">
              <w:rPr>
                <w:b/>
                <w:bCs/>
                <w:sz w:val="18"/>
                <w:szCs w:val="18"/>
              </w:rPr>
              <w:t>,</w:t>
            </w:r>
            <w:r w:rsidRPr="619EA3ED">
              <w:rPr>
                <w:b/>
                <w:bCs/>
                <w:sz w:val="18"/>
                <w:szCs w:val="18"/>
              </w:rPr>
              <w:t>202</w:t>
            </w:r>
          </w:p>
        </w:tc>
      </w:tr>
      <w:tr w:rsidR="00F46623" w14:paraId="5DC31193" w14:textId="77777777" w:rsidTr="7030D1C2">
        <w:tc>
          <w:tcPr>
            <w:tcW w:w="1920" w:type="dxa"/>
          </w:tcPr>
          <w:p w14:paraId="78D2BF22" w14:textId="18B1A293" w:rsidR="00F46623" w:rsidRPr="00E91C48" w:rsidRDefault="00F46623" w:rsidP="00A158CE">
            <w:pPr>
              <w:spacing w:before="60" w:after="60"/>
              <w:jc w:val="both"/>
              <w:rPr>
                <w:b/>
                <w:sz w:val="18"/>
                <w:szCs w:val="18"/>
              </w:rPr>
            </w:pPr>
            <w:r w:rsidRPr="7030D1C2">
              <w:rPr>
                <w:b/>
                <w:sz w:val="18"/>
                <w:szCs w:val="18"/>
              </w:rPr>
              <w:t>3-year survival</w:t>
            </w:r>
            <w:r w:rsidR="1B89F5B3" w:rsidRPr="7030D1C2">
              <w:rPr>
                <w:b/>
                <w:bCs/>
                <w:sz w:val="18"/>
                <w:szCs w:val="18"/>
              </w:rPr>
              <w:t xml:space="preserve"> (N)</w:t>
            </w:r>
          </w:p>
        </w:tc>
        <w:tc>
          <w:tcPr>
            <w:tcW w:w="1225" w:type="dxa"/>
          </w:tcPr>
          <w:p w14:paraId="47FB690C" w14:textId="77777777" w:rsidR="00F46623" w:rsidRPr="00F46623" w:rsidRDefault="00F46623" w:rsidP="619EA3ED">
            <w:pPr>
              <w:spacing w:before="60" w:after="60"/>
              <w:jc w:val="center"/>
              <w:rPr>
                <w:sz w:val="18"/>
                <w:szCs w:val="18"/>
              </w:rPr>
            </w:pPr>
            <w:r w:rsidRPr="619EA3ED">
              <w:rPr>
                <w:sz w:val="18"/>
                <w:szCs w:val="18"/>
              </w:rPr>
              <w:t>4</w:t>
            </w:r>
            <w:r w:rsidR="00E91C48" w:rsidRPr="619EA3ED">
              <w:rPr>
                <w:sz w:val="18"/>
                <w:szCs w:val="18"/>
              </w:rPr>
              <w:t>,</w:t>
            </w:r>
            <w:r w:rsidRPr="619EA3ED">
              <w:rPr>
                <w:sz w:val="18"/>
                <w:szCs w:val="18"/>
              </w:rPr>
              <w:t>474</w:t>
            </w:r>
          </w:p>
        </w:tc>
        <w:tc>
          <w:tcPr>
            <w:tcW w:w="1503" w:type="dxa"/>
          </w:tcPr>
          <w:p w14:paraId="12F9C834" w14:textId="77777777" w:rsidR="00F46623" w:rsidRPr="00F46623" w:rsidRDefault="00F46623" w:rsidP="619EA3ED">
            <w:pPr>
              <w:spacing w:before="60" w:after="60"/>
              <w:jc w:val="center"/>
              <w:rPr>
                <w:sz w:val="18"/>
                <w:szCs w:val="18"/>
              </w:rPr>
            </w:pPr>
            <w:r w:rsidRPr="619EA3ED">
              <w:rPr>
                <w:sz w:val="18"/>
                <w:szCs w:val="18"/>
              </w:rPr>
              <w:t>5</w:t>
            </w:r>
            <w:r w:rsidR="00E91C48" w:rsidRPr="619EA3ED">
              <w:rPr>
                <w:sz w:val="18"/>
                <w:szCs w:val="18"/>
              </w:rPr>
              <w:t>,</w:t>
            </w:r>
            <w:r w:rsidRPr="619EA3ED">
              <w:rPr>
                <w:sz w:val="18"/>
                <w:szCs w:val="18"/>
              </w:rPr>
              <w:t>421</w:t>
            </w:r>
          </w:p>
        </w:tc>
        <w:tc>
          <w:tcPr>
            <w:tcW w:w="1503" w:type="dxa"/>
          </w:tcPr>
          <w:p w14:paraId="13823A60" w14:textId="77777777" w:rsidR="00F46623" w:rsidRPr="00F46623" w:rsidRDefault="00F46623" w:rsidP="619EA3ED">
            <w:pPr>
              <w:spacing w:before="60" w:after="60"/>
              <w:jc w:val="center"/>
              <w:rPr>
                <w:sz w:val="18"/>
                <w:szCs w:val="18"/>
              </w:rPr>
            </w:pPr>
            <w:r w:rsidRPr="619EA3ED">
              <w:rPr>
                <w:sz w:val="18"/>
                <w:szCs w:val="18"/>
              </w:rPr>
              <w:t>5</w:t>
            </w:r>
            <w:r w:rsidR="00E91C48" w:rsidRPr="619EA3ED">
              <w:rPr>
                <w:sz w:val="18"/>
                <w:szCs w:val="18"/>
              </w:rPr>
              <w:t>,</w:t>
            </w:r>
            <w:r w:rsidRPr="619EA3ED">
              <w:rPr>
                <w:sz w:val="18"/>
                <w:szCs w:val="18"/>
              </w:rPr>
              <w:t>810</w:t>
            </w:r>
          </w:p>
        </w:tc>
        <w:tc>
          <w:tcPr>
            <w:tcW w:w="1503" w:type="dxa"/>
          </w:tcPr>
          <w:p w14:paraId="0606334B" w14:textId="77777777" w:rsidR="00F46623" w:rsidRPr="00F46623" w:rsidRDefault="00F46623" w:rsidP="619EA3ED">
            <w:pPr>
              <w:spacing w:before="60" w:after="60"/>
              <w:jc w:val="center"/>
              <w:rPr>
                <w:sz w:val="18"/>
                <w:szCs w:val="18"/>
              </w:rPr>
            </w:pPr>
            <w:r w:rsidRPr="619EA3ED">
              <w:rPr>
                <w:sz w:val="18"/>
                <w:szCs w:val="18"/>
              </w:rPr>
              <w:t>6</w:t>
            </w:r>
            <w:r w:rsidR="00E91C48" w:rsidRPr="619EA3ED">
              <w:rPr>
                <w:sz w:val="18"/>
                <w:szCs w:val="18"/>
              </w:rPr>
              <w:t>,</w:t>
            </w:r>
            <w:r w:rsidRPr="619EA3ED">
              <w:rPr>
                <w:sz w:val="18"/>
                <w:szCs w:val="18"/>
              </w:rPr>
              <w:t>181</w:t>
            </w:r>
          </w:p>
        </w:tc>
        <w:tc>
          <w:tcPr>
            <w:tcW w:w="1503" w:type="dxa"/>
          </w:tcPr>
          <w:p w14:paraId="36EA837D" w14:textId="77777777" w:rsidR="00F46623" w:rsidRPr="00E91C48" w:rsidRDefault="00F46623" w:rsidP="619EA3ED">
            <w:pPr>
              <w:spacing w:before="60" w:after="60"/>
              <w:jc w:val="center"/>
              <w:rPr>
                <w:b/>
                <w:bCs/>
                <w:sz w:val="18"/>
                <w:szCs w:val="18"/>
              </w:rPr>
            </w:pPr>
            <w:r w:rsidRPr="619EA3ED">
              <w:rPr>
                <w:b/>
                <w:bCs/>
                <w:sz w:val="18"/>
                <w:szCs w:val="18"/>
              </w:rPr>
              <w:t>21</w:t>
            </w:r>
            <w:r w:rsidR="00E91C48" w:rsidRPr="619EA3ED">
              <w:rPr>
                <w:b/>
                <w:bCs/>
                <w:sz w:val="18"/>
                <w:szCs w:val="18"/>
              </w:rPr>
              <w:t>,</w:t>
            </w:r>
            <w:r w:rsidRPr="619EA3ED">
              <w:rPr>
                <w:b/>
                <w:bCs/>
                <w:sz w:val="18"/>
                <w:szCs w:val="18"/>
              </w:rPr>
              <w:t>886</w:t>
            </w:r>
          </w:p>
        </w:tc>
      </w:tr>
      <w:tr w:rsidR="00F46623" w14:paraId="43CE1608" w14:textId="77777777" w:rsidTr="7030D1C2">
        <w:tc>
          <w:tcPr>
            <w:tcW w:w="1920" w:type="dxa"/>
          </w:tcPr>
          <w:p w14:paraId="1F8612F7" w14:textId="278781DC" w:rsidR="00F46623" w:rsidRPr="00E91C48" w:rsidRDefault="00F46623" w:rsidP="00A158CE">
            <w:pPr>
              <w:spacing w:before="60" w:after="60"/>
              <w:jc w:val="both"/>
              <w:rPr>
                <w:b/>
                <w:sz w:val="18"/>
                <w:szCs w:val="18"/>
              </w:rPr>
            </w:pPr>
            <w:r w:rsidRPr="7030D1C2">
              <w:rPr>
                <w:b/>
                <w:sz w:val="18"/>
                <w:szCs w:val="18"/>
              </w:rPr>
              <w:t>Active</w:t>
            </w:r>
            <w:r w:rsidR="7E0B2882" w:rsidRPr="7030D1C2">
              <w:rPr>
                <w:b/>
                <w:bCs/>
                <w:sz w:val="18"/>
                <w:szCs w:val="18"/>
              </w:rPr>
              <w:t xml:space="preserve"> (N)</w:t>
            </w:r>
          </w:p>
        </w:tc>
        <w:tc>
          <w:tcPr>
            <w:tcW w:w="1225" w:type="dxa"/>
          </w:tcPr>
          <w:p w14:paraId="75924A0B" w14:textId="77777777" w:rsidR="00F46623" w:rsidRPr="00F46623" w:rsidRDefault="00F46623" w:rsidP="619EA3ED">
            <w:pPr>
              <w:spacing w:before="60" w:after="60"/>
              <w:jc w:val="center"/>
              <w:rPr>
                <w:sz w:val="18"/>
                <w:szCs w:val="18"/>
              </w:rPr>
            </w:pPr>
            <w:r w:rsidRPr="619EA3ED">
              <w:rPr>
                <w:sz w:val="18"/>
                <w:szCs w:val="18"/>
              </w:rPr>
              <w:t>10</w:t>
            </w:r>
            <w:r w:rsidR="00E91C48" w:rsidRPr="619EA3ED">
              <w:rPr>
                <w:sz w:val="18"/>
                <w:szCs w:val="18"/>
              </w:rPr>
              <w:t>,</w:t>
            </w:r>
            <w:r w:rsidRPr="619EA3ED">
              <w:rPr>
                <w:sz w:val="18"/>
                <w:szCs w:val="18"/>
              </w:rPr>
              <w:t>978</w:t>
            </w:r>
          </w:p>
        </w:tc>
        <w:tc>
          <w:tcPr>
            <w:tcW w:w="1503" w:type="dxa"/>
          </w:tcPr>
          <w:p w14:paraId="082F90AB" w14:textId="77777777" w:rsidR="00F46623" w:rsidRPr="00F46623" w:rsidRDefault="00F46623" w:rsidP="619EA3ED">
            <w:pPr>
              <w:spacing w:before="60" w:after="60"/>
              <w:jc w:val="center"/>
              <w:rPr>
                <w:sz w:val="18"/>
                <w:szCs w:val="18"/>
              </w:rPr>
            </w:pPr>
            <w:r w:rsidRPr="619EA3ED">
              <w:rPr>
                <w:sz w:val="18"/>
                <w:szCs w:val="18"/>
              </w:rPr>
              <w:t>11</w:t>
            </w:r>
            <w:r w:rsidR="00E91C48" w:rsidRPr="619EA3ED">
              <w:rPr>
                <w:sz w:val="18"/>
                <w:szCs w:val="18"/>
              </w:rPr>
              <w:t>,</w:t>
            </w:r>
            <w:r w:rsidRPr="619EA3ED">
              <w:rPr>
                <w:sz w:val="18"/>
                <w:szCs w:val="18"/>
              </w:rPr>
              <w:t>397</w:t>
            </w:r>
          </w:p>
        </w:tc>
        <w:tc>
          <w:tcPr>
            <w:tcW w:w="1503" w:type="dxa"/>
          </w:tcPr>
          <w:p w14:paraId="23CDAF96" w14:textId="77777777" w:rsidR="00F46623" w:rsidRPr="00F46623" w:rsidRDefault="00F46623" w:rsidP="619EA3ED">
            <w:pPr>
              <w:spacing w:before="60" w:after="60"/>
              <w:jc w:val="center"/>
              <w:rPr>
                <w:sz w:val="18"/>
                <w:szCs w:val="18"/>
              </w:rPr>
            </w:pPr>
            <w:r w:rsidRPr="619EA3ED">
              <w:rPr>
                <w:sz w:val="18"/>
                <w:szCs w:val="18"/>
              </w:rPr>
              <w:t>12</w:t>
            </w:r>
            <w:r w:rsidR="00E91C48" w:rsidRPr="619EA3ED">
              <w:rPr>
                <w:sz w:val="18"/>
                <w:szCs w:val="18"/>
              </w:rPr>
              <w:t>,</w:t>
            </w:r>
            <w:r w:rsidRPr="619EA3ED">
              <w:rPr>
                <w:sz w:val="18"/>
                <w:szCs w:val="18"/>
              </w:rPr>
              <w:t>367</w:t>
            </w:r>
          </w:p>
        </w:tc>
        <w:tc>
          <w:tcPr>
            <w:tcW w:w="1503" w:type="dxa"/>
          </w:tcPr>
          <w:p w14:paraId="24D5E190" w14:textId="77777777" w:rsidR="00F46623" w:rsidRPr="00F46623" w:rsidRDefault="00F46623" w:rsidP="619EA3ED">
            <w:pPr>
              <w:spacing w:before="60" w:after="60"/>
              <w:jc w:val="center"/>
              <w:rPr>
                <w:sz w:val="18"/>
                <w:szCs w:val="18"/>
              </w:rPr>
            </w:pPr>
            <w:r w:rsidRPr="619EA3ED">
              <w:rPr>
                <w:sz w:val="18"/>
                <w:szCs w:val="18"/>
              </w:rPr>
              <w:t>13</w:t>
            </w:r>
            <w:r w:rsidR="00E91C48" w:rsidRPr="619EA3ED">
              <w:rPr>
                <w:sz w:val="18"/>
                <w:szCs w:val="18"/>
              </w:rPr>
              <w:t>,</w:t>
            </w:r>
            <w:r w:rsidRPr="619EA3ED">
              <w:rPr>
                <w:sz w:val="18"/>
                <w:szCs w:val="18"/>
              </w:rPr>
              <w:t>314</w:t>
            </w:r>
          </w:p>
        </w:tc>
        <w:tc>
          <w:tcPr>
            <w:tcW w:w="1503" w:type="dxa"/>
          </w:tcPr>
          <w:p w14:paraId="3C3B2382" w14:textId="77777777" w:rsidR="00F46623" w:rsidRPr="00E91C48" w:rsidRDefault="00F46623" w:rsidP="619EA3ED">
            <w:pPr>
              <w:spacing w:before="60" w:after="60"/>
              <w:jc w:val="center"/>
              <w:rPr>
                <w:b/>
                <w:bCs/>
                <w:sz w:val="18"/>
                <w:szCs w:val="18"/>
              </w:rPr>
            </w:pPr>
            <w:r w:rsidRPr="619EA3ED">
              <w:rPr>
                <w:b/>
                <w:bCs/>
                <w:sz w:val="18"/>
                <w:szCs w:val="18"/>
              </w:rPr>
              <w:t>48</w:t>
            </w:r>
            <w:r w:rsidR="00E91C48" w:rsidRPr="619EA3ED">
              <w:rPr>
                <w:b/>
                <w:bCs/>
                <w:sz w:val="18"/>
                <w:szCs w:val="18"/>
              </w:rPr>
              <w:t>,</w:t>
            </w:r>
            <w:r w:rsidRPr="619EA3ED">
              <w:rPr>
                <w:b/>
                <w:bCs/>
                <w:sz w:val="18"/>
                <w:szCs w:val="18"/>
              </w:rPr>
              <w:t>056</w:t>
            </w:r>
          </w:p>
        </w:tc>
      </w:tr>
      <w:tr w:rsidR="00F46623" w14:paraId="40382072" w14:textId="77777777" w:rsidTr="7030D1C2">
        <w:tc>
          <w:tcPr>
            <w:tcW w:w="1920" w:type="dxa"/>
          </w:tcPr>
          <w:p w14:paraId="543008A5" w14:textId="41A71AFD" w:rsidR="00F46623" w:rsidRPr="00E91C48" w:rsidRDefault="00F46623" w:rsidP="00A158CE">
            <w:pPr>
              <w:spacing w:before="60" w:after="60"/>
              <w:jc w:val="both"/>
              <w:rPr>
                <w:b/>
                <w:sz w:val="18"/>
                <w:szCs w:val="18"/>
              </w:rPr>
            </w:pPr>
            <w:r w:rsidRPr="7030D1C2">
              <w:rPr>
                <w:b/>
                <w:sz w:val="18"/>
                <w:szCs w:val="18"/>
              </w:rPr>
              <w:t>Employment</w:t>
            </w:r>
            <w:r w:rsidR="4F3E3B59" w:rsidRPr="7030D1C2">
              <w:rPr>
                <w:b/>
                <w:bCs/>
                <w:sz w:val="18"/>
                <w:szCs w:val="18"/>
              </w:rPr>
              <w:t xml:space="preserve"> (FTE)</w:t>
            </w:r>
          </w:p>
        </w:tc>
        <w:tc>
          <w:tcPr>
            <w:tcW w:w="1225" w:type="dxa"/>
          </w:tcPr>
          <w:p w14:paraId="51C896AE" w14:textId="77777777" w:rsidR="00F46623" w:rsidRPr="00F46623" w:rsidRDefault="00F46623" w:rsidP="619EA3ED">
            <w:pPr>
              <w:spacing w:before="60" w:after="60"/>
              <w:jc w:val="center"/>
              <w:rPr>
                <w:sz w:val="18"/>
                <w:szCs w:val="18"/>
              </w:rPr>
            </w:pPr>
            <w:r w:rsidRPr="619EA3ED">
              <w:rPr>
                <w:sz w:val="18"/>
                <w:szCs w:val="18"/>
              </w:rPr>
              <w:t>20</w:t>
            </w:r>
            <w:r w:rsidR="00E91C48" w:rsidRPr="619EA3ED">
              <w:rPr>
                <w:sz w:val="18"/>
                <w:szCs w:val="18"/>
              </w:rPr>
              <w:t>,</w:t>
            </w:r>
            <w:r w:rsidRPr="619EA3ED">
              <w:rPr>
                <w:sz w:val="18"/>
                <w:szCs w:val="18"/>
              </w:rPr>
              <w:t>886</w:t>
            </w:r>
          </w:p>
        </w:tc>
        <w:tc>
          <w:tcPr>
            <w:tcW w:w="1503" w:type="dxa"/>
          </w:tcPr>
          <w:p w14:paraId="17496AE7" w14:textId="77777777" w:rsidR="00F46623" w:rsidRPr="00F46623" w:rsidRDefault="00F46623" w:rsidP="619EA3ED">
            <w:pPr>
              <w:spacing w:before="60" w:after="60"/>
              <w:jc w:val="center"/>
              <w:rPr>
                <w:sz w:val="18"/>
                <w:szCs w:val="18"/>
              </w:rPr>
            </w:pPr>
            <w:r w:rsidRPr="619EA3ED">
              <w:rPr>
                <w:sz w:val="18"/>
                <w:szCs w:val="18"/>
              </w:rPr>
              <w:t>22</w:t>
            </w:r>
            <w:r w:rsidR="00E91C48" w:rsidRPr="619EA3ED">
              <w:rPr>
                <w:sz w:val="18"/>
                <w:szCs w:val="18"/>
              </w:rPr>
              <w:t>,</w:t>
            </w:r>
            <w:r w:rsidRPr="619EA3ED">
              <w:rPr>
                <w:sz w:val="18"/>
                <w:szCs w:val="18"/>
              </w:rPr>
              <w:t>892</w:t>
            </w:r>
          </w:p>
        </w:tc>
        <w:tc>
          <w:tcPr>
            <w:tcW w:w="1503" w:type="dxa"/>
          </w:tcPr>
          <w:p w14:paraId="7696E3A6" w14:textId="77777777" w:rsidR="00F46623" w:rsidRPr="00F46623" w:rsidRDefault="00F46623" w:rsidP="619EA3ED">
            <w:pPr>
              <w:spacing w:before="60" w:after="60"/>
              <w:jc w:val="center"/>
              <w:rPr>
                <w:sz w:val="18"/>
                <w:szCs w:val="18"/>
              </w:rPr>
            </w:pPr>
            <w:r w:rsidRPr="619EA3ED">
              <w:rPr>
                <w:sz w:val="18"/>
                <w:szCs w:val="18"/>
              </w:rPr>
              <w:t>22</w:t>
            </w:r>
            <w:r w:rsidR="00E91C48" w:rsidRPr="619EA3ED">
              <w:rPr>
                <w:sz w:val="18"/>
                <w:szCs w:val="18"/>
              </w:rPr>
              <w:t>,</w:t>
            </w:r>
            <w:r w:rsidRPr="619EA3ED">
              <w:rPr>
                <w:sz w:val="18"/>
                <w:szCs w:val="18"/>
              </w:rPr>
              <w:t>983</w:t>
            </w:r>
          </w:p>
        </w:tc>
        <w:tc>
          <w:tcPr>
            <w:tcW w:w="1503" w:type="dxa"/>
          </w:tcPr>
          <w:p w14:paraId="15A85F4D" w14:textId="77777777" w:rsidR="00F46623" w:rsidRPr="00F46623" w:rsidRDefault="00F46623" w:rsidP="619EA3ED">
            <w:pPr>
              <w:spacing w:before="60" w:after="60"/>
              <w:jc w:val="center"/>
              <w:rPr>
                <w:sz w:val="18"/>
                <w:szCs w:val="18"/>
              </w:rPr>
            </w:pPr>
            <w:r w:rsidRPr="619EA3ED">
              <w:rPr>
                <w:sz w:val="18"/>
                <w:szCs w:val="18"/>
              </w:rPr>
              <w:t>24</w:t>
            </w:r>
            <w:r w:rsidR="00E91C48" w:rsidRPr="619EA3ED">
              <w:rPr>
                <w:sz w:val="18"/>
                <w:szCs w:val="18"/>
              </w:rPr>
              <w:t>,</w:t>
            </w:r>
            <w:r w:rsidRPr="619EA3ED">
              <w:rPr>
                <w:sz w:val="18"/>
                <w:szCs w:val="18"/>
              </w:rPr>
              <w:t>466</w:t>
            </w:r>
          </w:p>
        </w:tc>
        <w:tc>
          <w:tcPr>
            <w:tcW w:w="1503" w:type="dxa"/>
          </w:tcPr>
          <w:p w14:paraId="775CDA85" w14:textId="77777777" w:rsidR="00F46623" w:rsidRPr="00E91C48" w:rsidRDefault="00F46623" w:rsidP="619EA3ED">
            <w:pPr>
              <w:spacing w:before="60" w:after="60"/>
              <w:jc w:val="center"/>
              <w:rPr>
                <w:b/>
                <w:bCs/>
                <w:sz w:val="18"/>
                <w:szCs w:val="18"/>
              </w:rPr>
            </w:pPr>
            <w:r w:rsidRPr="619EA3ED">
              <w:rPr>
                <w:b/>
                <w:bCs/>
                <w:sz w:val="18"/>
                <w:szCs w:val="18"/>
              </w:rPr>
              <w:t>91</w:t>
            </w:r>
            <w:r w:rsidR="00E91C48" w:rsidRPr="619EA3ED">
              <w:rPr>
                <w:b/>
                <w:bCs/>
                <w:sz w:val="18"/>
                <w:szCs w:val="18"/>
              </w:rPr>
              <w:t>,</w:t>
            </w:r>
            <w:r w:rsidRPr="619EA3ED">
              <w:rPr>
                <w:b/>
                <w:bCs/>
                <w:sz w:val="18"/>
                <w:szCs w:val="18"/>
              </w:rPr>
              <w:t>227</w:t>
            </w:r>
          </w:p>
        </w:tc>
      </w:tr>
      <w:tr w:rsidR="00F46623" w14:paraId="2B309693" w14:textId="77777777" w:rsidTr="7030D1C2">
        <w:tc>
          <w:tcPr>
            <w:tcW w:w="1920" w:type="dxa"/>
          </w:tcPr>
          <w:p w14:paraId="44418044" w14:textId="77777777" w:rsidR="00F46623" w:rsidRPr="00E91C48" w:rsidRDefault="00F46623" w:rsidP="00A158CE">
            <w:pPr>
              <w:spacing w:before="60" w:after="60"/>
              <w:jc w:val="both"/>
              <w:rPr>
                <w:b/>
                <w:sz w:val="18"/>
              </w:rPr>
            </w:pPr>
            <w:r w:rsidRPr="00E91C48">
              <w:rPr>
                <w:b/>
                <w:sz w:val="18"/>
              </w:rPr>
              <w:t>Turnover (000s)</w:t>
            </w:r>
          </w:p>
        </w:tc>
        <w:tc>
          <w:tcPr>
            <w:tcW w:w="1225" w:type="dxa"/>
          </w:tcPr>
          <w:p w14:paraId="1FE29C27" w14:textId="77777777" w:rsidR="00F46623" w:rsidRPr="00F46623" w:rsidRDefault="00F46623" w:rsidP="619EA3ED">
            <w:pPr>
              <w:spacing w:before="60" w:after="60"/>
              <w:jc w:val="center"/>
              <w:rPr>
                <w:sz w:val="18"/>
                <w:szCs w:val="18"/>
              </w:rPr>
            </w:pPr>
            <w:r w:rsidRPr="619EA3ED">
              <w:rPr>
                <w:sz w:val="18"/>
                <w:szCs w:val="18"/>
              </w:rPr>
              <w:t>574</w:t>
            </w:r>
            <w:r w:rsidR="00E91C48" w:rsidRPr="619EA3ED">
              <w:rPr>
                <w:sz w:val="18"/>
                <w:szCs w:val="18"/>
              </w:rPr>
              <w:t>,</w:t>
            </w:r>
            <w:r w:rsidRPr="619EA3ED">
              <w:rPr>
                <w:sz w:val="18"/>
                <w:szCs w:val="18"/>
              </w:rPr>
              <w:t>082</w:t>
            </w:r>
          </w:p>
        </w:tc>
        <w:tc>
          <w:tcPr>
            <w:tcW w:w="1503" w:type="dxa"/>
          </w:tcPr>
          <w:p w14:paraId="538D49C7" w14:textId="77777777" w:rsidR="00F46623" w:rsidRPr="00F46623" w:rsidRDefault="00F46623" w:rsidP="619EA3ED">
            <w:pPr>
              <w:spacing w:before="60" w:after="60"/>
              <w:jc w:val="center"/>
              <w:rPr>
                <w:sz w:val="18"/>
                <w:szCs w:val="18"/>
              </w:rPr>
            </w:pPr>
            <w:r w:rsidRPr="619EA3ED">
              <w:rPr>
                <w:sz w:val="18"/>
                <w:szCs w:val="18"/>
              </w:rPr>
              <w:t>616</w:t>
            </w:r>
            <w:r w:rsidR="00E91C48" w:rsidRPr="619EA3ED">
              <w:rPr>
                <w:sz w:val="18"/>
                <w:szCs w:val="18"/>
              </w:rPr>
              <w:t>,</w:t>
            </w:r>
            <w:r w:rsidRPr="619EA3ED">
              <w:rPr>
                <w:sz w:val="18"/>
                <w:szCs w:val="18"/>
              </w:rPr>
              <w:t>732</w:t>
            </w:r>
          </w:p>
        </w:tc>
        <w:tc>
          <w:tcPr>
            <w:tcW w:w="1503" w:type="dxa"/>
          </w:tcPr>
          <w:p w14:paraId="6E542750" w14:textId="77777777" w:rsidR="00F46623" w:rsidRPr="00F46623" w:rsidRDefault="00F46623" w:rsidP="619EA3ED">
            <w:pPr>
              <w:spacing w:before="60" w:after="60"/>
              <w:jc w:val="center"/>
              <w:rPr>
                <w:sz w:val="18"/>
                <w:szCs w:val="18"/>
              </w:rPr>
            </w:pPr>
            <w:r w:rsidRPr="619EA3ED">
              <w:rPr>
                <w:sz w:val="18"/>
                <w:szCs w:val="18"/>
              </w:rPr>
              <w:t>629</w:t>
            </w:r>
            <w:r w:rsidR="00E91C48" w:rsidRPr="619EA3ED">
              <w:rPr>
                <w:sz w:val="18"/>
                <w:szCs w:val="18"/>
              </w:rPr>
              <w:t>,</w:t>
            </w:r>
            <w:r w:rsidRPr="619EA3ED">
              <w:rPr>
                <w:sz w:val="18"/>
                <w:szCs w:val="18"/>
              </w:rPr>
              <w:t>790</w:t>
            </w:r>
          </w:p>
        </w:tc>
        <w:tc>
          <w:tcPr>
            <w:tcW w:w="1503" w:type="dxa"/>
          </w:tcPr>
          <w:p w14:paraId="2D7527F7" w14:textId="77777777" w:rsidR="00F46623" w:rsidRPr="00F46623" w:rsidRDefault="00F46623" w:rsidP="619EA3ED">
            <w:pPr>
              <w:spacing w:before="60" w:after="60"/>
              <w:jc w:val="center"/>
              <w:rPr>
                <w:sz w:val="18"/>
                <w:szCs w:val="18"/>
              </w:rPr>
            </w:pPr>
            <w:r w:rsidRPr="619EA3ED">
              <w:rPr>
                <w:sz w:val="18"/>
                <w:szCs w:val="18"/>
              </w:rPr>
              <w:t>750</w:t>
            </w:r>
            <w:r w:rsidR="00E91C48" w:rsidRPr="619EA3ED">
              <w:rPr>
                <w:sz w:val="18"/>
                <w:szCs w:val="18"/>
              </w:rPr>
              <w:t>,</w:t>
            </w:r>
            <w:r w:rsidRPr="619EA3ED">
              <w:rPr>
                <w:sz w:val="18"/>
                <w:szCs w:val="18"/>
              </w:rPr>
              <w:t>752</w:t>
            </w:r>
          </w:p>
        </w:tc>
        <w:tc>
          <w:tcPr>
            <w:tcW w:w="1503" w:type="dxa"/>
          </w:tcPr>
          <w:p w14:paraId="028B0AF9" w14:textId="77777777" w:rsidR="00F46623" w:rsidRPr="00E91C48" w:rsidRDefault="00F46623" w:rsidP="619EA3ED">
            <w:pPr>
              <w:spacing w:before="60" w:after="60"/>
              <w:jc w:val="center"/>
              <w:rPr>
                <w:b/>
                <w:bCs/>
                <w:sz w:val="18"/>
                <w:szCs w:val="18"/>
              </w:rPr>
            </w:pPr>
            <w:r w:rsidRPr="619EA3ED">
              <w:rPr>
                <w:b/>
                <w:bCs/>
                <w:sz w:val="18"/>
                <w:szCs w:val="18"/>
              </w:rPr>
              <w:t>2</w:t>
            </w:r>
            <w:r w:rsidR="00E91C48" w:rsidRPr="619EA3ED">
              <w:rPr>
                <w:b/>
                <w:bCs/>
                <w:sz w:val="18"/>
                <w:szCs w:val="18"/>
              </w:rPr>
              <w:t>,</w:t>
            </w:r>
            <w:r w:rsidRPr="619EA3ED">
              <w:rPr>
                <w:b/>
                <w:bCs/>
                <w:sz w:val="18"/>
                <w:szCs w:val="18"/>
              </w:rPr>
              <w:t>571</w:t>
            </w:r>
            <w:r w:rsidR="00E91C48" w:rsidRPr="619EA3ED">
              <w:rPr>
                <w:b/>
                <w:bCs/>
                <w:sz w:val="18"/>
                <w:szCs w:val="18"/>
              </w:rPr>
              <w:t>,</w:t>
            </w:r>
            <w:r w:rsidRPr="619EA3ED">
              <w:rPr>
                <w:b/>
                <w:bCs/>
                <w:sz w:val="18"/>
                <w:szCs w:val="18"/>
              </w:rPr>
              <w:t>282</w:t>
            </w:r>
          </w:p>
        </w:tc>
      </w:tr>
      <w:tr w:rsidR="00F46623" w14:paraId="523B934B" w14:textId="77777777" w:rsidTr="7030D1C2">
        <w:tc>
          <w:tcPr>
            <w:tcW w:w="1920" w:type="dxa"/>
          </w:tcPr>
          <w:p w14:paraId="020D4E04" w14:textId="77777777" w:rsidR="00F46623" w:rsidRPr="00E91C48" w:rsidRDefault="00F46623" w:rsidP="00A158CE">
            <w:pPr>
              <w:spacing w:before="60" w:after="60"/>
              <w:jc w:val="both"/>
              <w:rPr>
                <w:b/>
                <w:sz w:val="18"/>
              </w:rPr>
            </w:pPr>
            <w:r w:rsidRPr="00E91C48">
              <w:rPr>
                <w:b/>
                <w:sz w:val="18"/>
              </w:rPr>
              <w:t>Investment (000s)</w:t>
            </w:r>
          </w:p>
        </w:tc>
        <w:tc>
          <w:tcPr>
            <w:tcW w:w="1225" w:type="dxa"/>
          </w:tcPr>
          <w:p w14:paraId="537693F1" w14:textId="77777777" w:rsidR="00F46623" w:rsidRPr="00F46623" w:rsidRDefault="00F46623" w:rsidP="619EA3ED">
            <w:pPr>
              <w:spacing w:before="60" w:after="60"/>
              <w:jc w:val="center"/>
              <w:rPr>
                <w:sz w:val="18"/>
                <w:szCs w:val="18"/>
              </w:rPr>
            </w:pPr>
            <w:r w:rsidRPr="619EA3ED">
              <w:rPr>
                <w:sz w:val="18"/>
                <w:szCs w:val="18"/>
              </w:rPr>
              <w:t>302</w:t>
            </w:r>
            <w:r w:rsidR="00E91C48" w:rsidRPr="619EA3ED">
              <w:rPr>
                <w:sz w:val="18"/>
                <w:szCs w:val="18"/>
              </w:rPr>
              <w:t>,</w:t>
            </w:r>
            <w:r w:rsidRPr="619EA3ED">
              <w:rPr>
                <w:sz w:val="18"/>
                <w:szCs w:val="18"/>
              </w:rPr>
              <w:t>791</w:t>
            </w:r>
          </w:p>
        </w:tc>
        <w:tc>
          <w:tcPr>
            <w:tcW w:w="1503" w:type="dxa"/>
          </w:tcPr>
          <w:p w14:paraId="07167001" w14:textId="77777777" w:rsidR="00F46623" w:rsidRPr="00F46623" w:rsidRDefault="00F46623" w:rsidP="619EA3ED">
            <w:pPr>
              <w:spacing w:before="60" w:after="60"/>
              <w:jc w:val="center"/>
              <w:rPr>
                <w:sz w:val="18"/>
                <w:szCs w:val="18"/>
              </w:rPr>
            </w:pPr>
            <w:r w:rsidRPr="619EA3ED">
              <w:rPr>
                <w:sz w:val="18"/>
                <w:szCs w:val="18"/>
              </w:rPr>
              <w:t>146</w:t>
            </w:r>
            <w:r w:rsidR="00E91C48" w:rsidRPr="619EA3ED">
              <w:rPr>
                <w:sz w:val="18"/>
                <w:szCs w:val="18"/>
              </w:rPr>
              <w:t>,</w:t>
            </w:r>
            <w:r w:rsidRPr="619EA3ED">
              <w:rPr>
                <w:sz w:val="18"/>
                <w:szCs w:val="18"/>
              </w:rPr>
              <w:t>252</w:t>
            </w:r>
          </w:p>
        </w:tc>
        <w:tc>
          <w:tcPr>
            <w:tcW w:w="1503" w:type="dxa"/>
          </w:tcPr>
          <w:p w14:paraId="02D38C9E" w14:textId="77777777" w:rsidR="00F46623" w:rsidRPr="00F46623" w:rsidRDefault="00F46623" w:rsidP="619EA3ED">
            <w:pPr>
              <w:spacing w:before="60" w:after="60"/>
              <w:jc w:val="center"/>
              <w:rPr>
                <w:sz w:val="18"/>
                <w:szCs w:val="18"/>
              </w:rPr>
            </w:pPr>
            <w:r w:rsidRPr="619EA3ED">
              <w:rPr>
                <w:sz w:val="18"/>
                <w:szCs w:val="18"/>
              </w:rPr>
              <w:t>182</w:t>
            </w:r>
            <w:r w:rsidR="00E91C48" w:rsidRPr="619EA3ED">
              <w:rPr>
                <w:sz w:val="18"/>
                <w:szCs w:val="18"/>
              </w:rPr>
              <w:t>,</w:t>
            </w:r>
            <w:r w:rsidRPr="619EA3ED">
              <w:rPr>
                <w:sz w:val="18"/>
                <w:szCs w:val="18"/>
              </w:rPr>
              <w:t>288</w:t>
            </w:r>
          </w:p>
        </w:tc>
        <w:tc>
          <w:tcPr>
            <w:tcW w:w="1503" w:type="dxa"/>
          </w:tcPr>
          <w:p w14:paraId="08C629FF" w14:textId="77777777" w:rsidR="00F46623" w:rsidRPr="00F46623" w:rsidRDefault="00F46623" w:rsidP="619EA3ED">
            <w:pPr>
              <w:spacing w:before="60" w:after="60"/>
              <w:jc w:val="center"/>
              <w:rPr>
                <w:sz w:val="18"/>
                <w:szCs w:val="18"/>
              </w:rPr>
            </w:pPr>
            <w:r w:rsidRPr="619EA3ED">
              <w:rPr>
                <w:sz w:val="18"/>
                <w:szCs w:val="18"/>
              </w:rPr>
              <w:t>164</w:t>
            </w:r>
            <w:r w:rsidR="00E91C48" w:rsidRPr="619EA3ED">
              <w:rPr>
                <w:sz w:val="18"/>
                <w:szCs w:val="18"/>
              </w:rPr>
              <w:t>,</w:t>
            </w:r>
            <w:r w:rsidRPr="619EA3ED">
              <w:rPr>
                <w:sz w:val="18"/>
                <w:szCs w:val="18"/>
              </w:rPr>
              <w:t>027</w:t>
            </w:r>
          </w:p>
        </w:tc>
        <w:tc>
          <w:tcPr>
            <w:tcW w:w="1503" w:type="dxa"/>
          </w:tcPr>
          <w:p w14:paraId="3545CFA4" w14:textId="77777777" w:rsidR="00F46623" w:rsidRPr="00E91C48" w:rsidRDefault="00F46623" w:rsidP="619EA3ED">
            <w:pPr>
              <w:spacing w:before="60" w:after="60"/>
              <w:jc w:val="center"/>
              <w:rPr>
                <w:b/>
                <w:bCs/>
                <w:sz w:val="18"/>
                <w:szCs w:val="18"/>
              </w:rPr>
            </w:pPr>
            <w:r w:rsidRPr="619EA3ED">
              <w:rPr>
                <w:b/>
                <w:bCs/>
                <w:sz w:val="18"/>
                <w:szCs w:val="18"/>
              </w:rPr>
              <w:t>795</w:t>
            </w:r>
            <w:r w:rsidR="00E91C48" w:rsidRPr="619EA3ED">
              <w:rPr>
                <w:b/>
                <w:bCs/>
                <w:sz w:val="18"/>
                <w:szCs w:val="18"/>
              </w:rPr>
              <w:t>,</w:t>
            </w:r>
            <w:r w:rsidRPr="619EA3ED">
              <w:rPr>
                <w:b/>
                <w:bCs/>
                <w:sz w:val="18"/>
                <w:szCs w:val="18"/>
              </w:rPr>
              <w:t>358</w:t>
            </w:r>
          </w:p>
        </w:tc>
      </w:tr>
      <w:tr w:rsidR="00F46623" w14:paraId="39EBA697" w14:textId="77777777" w:rsidTr="7030D1C2">
        <w:tc>
          <w:tcPr>
            <w:tcW w:w="1920" w:type="dxa"/>
          </w:tcPr>
          <w:p w14:paraId="528E9533" w14:textId="77777777" w:rsidR="00F46623" w:rsidRPr="00E91C48" w:rsidRDefault="00F46623" w:rsidP="00A158CE">
            <w:pPr>
              <w:spacing w:before="60" w:after="60"/>
              <w:jc w:val="both"/>
              <w:rPr>
                <w:b/>
                <w:sz w:val="18"/>
              </w:rPr>
            </w:pPr>
            <w:r w:rsidRPr="00E91C48">
              <w:rPr>
                <w:b/>
                <w:sz w:val="18"/>
              </w:rPr>
              <w:t>Student FTE</w:t>
            </w:r>
          </w:p>
        </w:tc>
        <w:tc>
          <w:tcPr>
            <w:tcW w:w="1225" w:type="dxa"/>
          </w:tcPr>
          <w:p w14:paraId="42FEABBB" w14:textId="77777777" w:rsidR="00F46623" w:rsidRPr="00F46623" w:rsidRDefault="00F46623" w:rsidP="619EA3ED">
            <w:pPr>
              <w:spacing w:before="60" w:after="60"/>
              <w:jc w:val="center"/>
              <w:rPr>
                <w:sz w:val="18"/>
                <w:szCs w:val="18"/>
              </w:rPr>
            </w:pPr>
            <w:r w:rsidRPr="619EA3ED">
              <w:rPr>
                <w:sz w:val="18"/>
                <w:szCs w:val="18"/>
              </w:rPr>
              <w:t>1</w:t>
            </w:r>
            <w:r w:rsidR="00E91C48" w:rsidRPr="619EA3ED">
              <w:rPr>
                <w:sz w:val="18"/>
                <w:szCs w:val="18"/>
              </w:rPr>
              <w:t>,</w:t>
            </w:r>
            <w:r w:rsidRPr="619EA3ED">
              <w:rPr>
                <w:sz w:val="18"/>
                <w:szCs w:val="18"/>
              </w:rPr>
              <w:t>854</w:t>
            </w:r>
            <w:r w:rsidR="00E91C48" w:rsidRPr="619EA3ED">
              <w:rPr>
                <w:sz w:val="18"/>
                <w:szCs w:val="18"/>
              </w:rPr>
              <w:t>,</w:t>
            </w:r>
            <w:r w:rsidRPr="619EA3ED">
              <w:rPr>
                <w:sz w:val="18"/>
                <w:szCs w:val="18"/>
              </w:rPr>
              <w:t>610</w:t>
            </w:r>
          </w:p>
        </w:tc>
        <w:tc>
          <w:tcPr>
            <w:tcW w:w="1503" w:type="dxa"/>
          </w:tcPr>
          <w:p w14:paraId="3F0EF57B" w14:textId="77777777" w:rsidR="00F46623" w:rsidRPr="00F46623" w:rsidRDefault="00F46623" w:rsidP="619EA3ED">
            <w:pPr>
              <w:spacing w:before="60" w:after="60"/>
              <w:jc w:val="center"/>
              <w:rPr>
                <w:sz w:val="18"/>
                <w:szCs w:val="18"/>
              </w:rPr>
            </w:pPr>
            <w:r w:rsidRPr="619EA3ED">
              <w:rPr>
                <w:sz w:val="18"/>
                <w:szCs w:val="18"/>
              </w:rPr>
              <w:t>1</w:t>
            </w:r>
            <w:r w:rsidR="00E91C48" w:rsidRPr="619EA3ED">
              <w:rPr>
                <w:sz w:val="18"/>
                <w:szCs w:val="18"/>
              </w:rPr>
              <w:t>,</w:t>
            </w:r>
            <w:r w:rsidRPr="619EA3ED">
              <w:rPr>
                <w:sz w:val="18"/>
                <w:szCs w:val="18"/>
              </w:rPr>
              <w:t>886</w:t>
            </w:r>
            <w:r w:rsidR="00E91C48" w:rsidRPr="619EA3ED">
              <w:rPr>
                <w:sz w:val="18"/>
                <w:szCs w:val="18"/>
              </w:rPr>
              <w:t>,</w:t>
            </w:r>
            <w:r w:rsidRPr="619EA3ED">
              <w:rPr>
                <w:sz w:val="18"/>
                <w:szCs w:val="18"/>
              </w:rPr>
              <w:t>855</w:t>
            </w:r>
          </w:p>
        </w:tc>
        <w:tc>
          <w:tcPr>
            <w:tcW w:w="1503" w:type="dxa"/>
          </w:tcPr>
          <w:p w14:paraId="3BEC53A3" w14:textId="77777777" w:rsidR="00F46623" w:rsidRPr="00F46623" w:rsidRDefault="00F46623" w:rsidP="619EA3ED">
            <w:pPr>
              <w:spacing w:before="60" w:after="60"/>
              <w:jc w:val="center"/>
              <w:rPr>
                <w:sz w:val="18"/>
                <w:szCs w:val="18"/>
              </w:rPr>
            </w:pPr>
            <w:r w:rsidRPr="619EA3ED">
              <w:rPr>
                <w:sz w:val="18"/>
                <w:szCs w:val="18"/>
              </w:rPr>
              <w:t>1</w:t>
            </w:r>
            <w:r w:rsidR="00E91C48" w:rsidRPr="619EA3ED">
              <w:rPr>
                <w:sz w:val="18"/>
                <w:szCs w:val="18"/>
              </w:rPr>
              <w:t>,</w:t>
            </w:r>
            <w:r w:rsidRPr="619EA3ED">
              <w:rPr>
                <w:sz w:val="18"/>
                <w:szCs w:val="18"/>
              </w:rPr>
              <w:t>933</w:t>
            </w:r>
            <w:r w:rsidR="00E91C48" w:rsidRPr="619EA3ED">
              <w:rPr>
                <w:sz w:val="18"/>
                <w:szCs w:val="18"/>
              </w:rPr>
              <w:t>,</w:t>
            </w:r>
            <w:r w:rsidRPr="619EA3ED">
              <w:rPr>
                <w:sz w:val="18"/>
                <w:szCs w:val="18"/>
              </w:rPr>
              <w:t>875</w:t>
            </w:r>
          </w:p>
        </w:tc>
        <w:tc>
          <w:tcPr>
            <w:tcW w:w="1503" w:type="dxa"/>
          </w:tcPr>
          <w:p w14:paraId="745179E4" w14:textId="77777777" w:rsidR="00F46623" w:rsidRPr="00F46623" w:rsidRDefault="00F46623" w:rsidP="619EA3ED">
            <w:pPr>
              <w:spacing w:before="60" w:after="60"/>
              <w:jc w:val="center"/>
              <w:rPr>
                <w:sz w:val="18"/>
                <w:szCs w:val="18"/>
              </w:rPr>
            </w:pPr>
            <w:r w:rsidRPr="619EA3ED">
              <w:rPr>
                <w:sz w:val="18"/>
                <w:szCs w:val="18"/>
              </w:rPr>
              <w:t>1</w:t>
            </w:r>
            <w:r w:rsidR="00E91C48" w:rsidRPr="619EA3ED">
              <w:rPr>
                <w:sz w:val="18"/>
                <w:szCs w:val="18"/>
              </w:rPr>
              <w:t>,</w:t>
            </w:r>
            <w:r w:rsidRPr="619EA3ED">
              <w:rPr>
                <w:sz w:val="18"/>
                <w:szCs w:val="18"/>
              </w:rPr>
              <w:t>974</w:t>
            </w:r>
            <w:r w:rsidR="00E91C48" w:rsidRPr="619EA3ED">
              <w:rPr>
                <w:sz w:val="18"/>
                <w:szCs w:val="18"/>
              </w:rPr>
              <w:t>,</w:t>
            </w:r>
            <w:r w:rsidRPr="619EA3ED">
              <w:rPr>
                <w:sz w:val="18"/>
                <w:szCs w:val="18"/>
              </w:rPr>
              <w:t>575</w:t>
            </w:r>
          </w:p>
        </w:tc>
        <w:tc>
          <w:tcPr>
            <w:tcW w:w="1503" w:type="dxa"/>
          </w:tcPr>
          <w:p w14:paraId="74BE0C52" w14:textId="77777777" w:rsidR="00F46623" w:rsidRPr="00E91C48" w:rsidRDefault="00F46623" w:rsidP="619EA3ED">
            <w:pPr>
              <w:spacing w:before="60" w:after="60"/>
              <w:jc w:val="center"/>
              <w:rPr>
                <w:b/>
                <w:bCs/>
                <w:sz w:val="18"/>
                <w:szCs w:val="18"/>
              </w:rPr>
            </w:pPr>
            <w:r w:rsidRPr="619EA3ED">
              <w:rPr>
                <w:b/>
                <w:bCs/>
                <w:sz w:val="18"/>
                <w:szCs w:val="18"/>
              </w:rPr>
              <w:t>7</w:t>
            </w:r>
            <w:r w:rsidR="00E91C48" w:rsidRPr="619EA3ED">
              <w:rPr>
                <w:b/>
                <w:bCs/>
                <w:sz w:val="18"/>
                <w:szCs w:val="18"/>
              </w:rPr>
              <w:t>,</w:t>
            </w:r>
            <w:r w:rsidRPr="619EA3ED">
              <w:rPr>
                <w:b/>
                <w:bCs/>
                <w:sz w:val="18"/>
                <w:szCs w:val="18"/>
              </w:rPr>
              <w:t>649</w:t>
            </w:r>
            <w:r w:rsidR="00E91C48" w:rsidRPr="619EA3ED">
              <w:rPr>
                <w:b/>
                <w:bCs/>
                <w:sz w:val="18"/>
                <w:szCs w:val="18"/>
              </w:rPr>
              <w:t>,</w:t>
            </w:r>
            <w:r w:rsidRPr="619EA3ED">
              <w:rPr>
                <w:b/>
                <w:bCs/>
                <w:sz w:val="18"/>
                <w:szCs w:val="18"/>
              </w:rPr>
              <w:t>915</w:t>
            </w:r>
          </w:p>
        </w:tc>
      </w:tr>
    </w:tbl>
    <w:p w14:paraId="2062D1FD" w14:textId="77777777" w:rsidR="00F46623" w:rsidRPr="00984DFE" w:rsidRDefault="00F46623" w:rsidP="00A158CE">
      <w:pPr>
        <w:jc w:val="both"/>
        <w:rPr>
          <w:color w:val="1F4E79" w:themeColor="accent1" w:themeShade="80"/>
          <w:sz w:val="18"/>
        </w:rPr>
      </w:pPr>
    </w:p>
    <w:p w14:paraId="0A1E964E" w14:textId="77777777" w:rsidR="004F640B" w:rsidRDefault="00E91C48" w:rsidP="00A158CE">
      <w:pPr>
        <w:jc w:val="both"/>
        <w:rPr>
          <w:color w:val="1F4E79" w:themeColor="accent1" w:themeShade="80"/>
          <w:sz w:val="18"/>
        </w:rPr>
      </w:pPr>
      <w:r w:rsidRPr="00984DFE">
        <w:rPr>
          <w:color w:val="1F4E79" w:themeColor="accent1" w:themeShade="80"/>
          <w:sz w:val="18"/>
        </w:rPr>
        <w:t xml:space="preserve">Table </w:t>
      </w:r>
      <w:r>
        <w:rPr>
          <w:color w:val="1F4E79" w:themeColor="accent1" w:themeShade="80"/>
          <w:sz w:val="18"/>
        </w:rPr>
        <w:t>5</w:t>
      </w:r>
      <w:r w:rsidRPr="00984DFE">
        <w:rPr>
          <w:color w:val="1F4E79" w:themeColor="accent1" w:themeShade="80"/>
          <w:sz w:val="18"/>
        </w:rPr>
        <w:t xml:space="preserve">: </w:t>
      </w:r>
      <w:r>
        <w:rPr>
          <w:color w:val="1F4E79" w:themeColor="accent1" w:themeShade="80"/>
          <w:sz w:val="18"/>
        </w:rPr>
        <w:t xml:space="preserve">Number of institutions making a return for </w:t>
      </w:r>
      <w:r w:rsidR="000C2064">
        <w:rPr>
          <w:color w:val="1F4E79" w:themeColor="accent1" w:themeShade="80"/>
          <w:sz w:val="18"/>
        </w:rPr>
        <w:t xml:space="preserve">each </w:t>
      </w:r>
      <w:r>
        <w:rPr>
          <w:color w:val="1F4E79" w:themeColor="accent1" w:themeShade="80"/>
          <w:sz w:val="18"/>
        </w:rPr>
        <w:t xml:space="preserve">HE-BCI graduate spin-out item </w:t>
      </w:r>
    </w:p>
    <w:p w14:paraId="5278D513" w14:textId="77777777" w:rsidR="00E91C48" w:rsidRDefault="00E91C48" w:rsidP="00A158CE">
      <w:pPr>
        <w:jc w:val="both"/>
        <w:rPr>
          <w:color w:val="1F4E79" w:themeColor="accent1" w:themeShade="80"/>
          <w:sz w:val="18"/>
        </w:rPr>
      </w:pPr>
    </w:p>
    <w:tbl>
      <w:tblPr>
        <w:tblStyle w:val="TableGrid"/>
        <w:tblW w:w="8453" w:type="dxa"/>
        <w:jc w:val="center"/>
        <w:tblLook w:val="04A0" w:firstRow="1" w:lastRow="0" w:firstColumn="1" w:lastColumn="0" w:noHBand="0" w:noVBand="1"/>
      </w:tblPr>
      <w:tblGrid>
        <w:gridCol w:w="2636"/>
        <w:gridCol w:w="1308"/>
        <w:gridCol w:w="1503"/>
        <w:gridCol w:w="1503"/>
        <w:gridCol w:w="1503"/>
      </w:tblGrid>
      <w:tr w:rsidR="00E91C48" w14:paraId="659AF97A" w14:textId="77777777" w:rsidTr="619EA3ED">
        <w:trPr>
          <w:jc w:val="center"/>
        </w:trPr>
        <w:tc>
          <w:tcPr>
            <w:tcW w:w="2636" w:type="dxa"/>
            <w:tcBorders>
              <w:top w:val="nil"/>
              <w:left w:val="nil"/>
            </w:tcBorders>
          </w:tcPr>
          <w:p w14:paraId="00931039" w14:textId="77777777" w:rsidR="00E91C48" w:rsidRPr="00F46623" w:rsidRDefault="00E91C48" w:rsidP="00A158CE">
            <w:pPr>
              <w:spacing w:before="60" w:after="60"/>
              <w:jc w:val="both"/>
              <w:rPr>
                <w:sz w:val="18"/>
              </w:rPr>
            </w:pPr>
          </w:p>
        </w:tc>
        <w:tc>
          <w:tcPr>
            <w:tcW w:w="1308" w:type="dxa"/>
          </w:tcPr>
          <w:p w14:paraId="24E217C7" w14:textId="77777777" w:rsidR="00E91C48" w:rsidRPr="00E91C48" w:rsidRDefault="00E91C48" w:rsidP="619EA3ED">
            <w:pPr>
              <w:spacing w:before="60" w:after="60"/>
              <w:jc w:val="center"/>
              <w:rPr>
                <w:b/>
                <w:bCs/>
                <w:sz w:val="18"/>
                <w:szCs w:val="18"/>
              </w:rPr>
            </w:pPr>
            <w:r w:rsidRPr="619EA3ED">
              <w:rPr>
                <w:b/>
                <w:bCs/>
                <w:sz w:val="18"/>
                <w:szCs w:val="18"/>
              </w:rPr>
              <w:t>2014/2015</w:t>
            </w:r>
          </w:p>
        </w:tc>
        <w:tc>
          <w:tcPr>
            <w:tcW w:w="1503" w:type="dxa"/>
          </w:tcPr>
          <w:p w14:paraId="10B6E232" w14:textId="77777777" w:rsidR="00E91C48" w:rsidRPr="00E91C48" w:rsidRDefault="00E91C48" w:rsidP="619EA3ED">
            <w:pPr>
              <w:spacing w:before="60" w:after="60"/>
              <w:jc w:val="center"/>
              <w:rPr>
                <w:b/>
                <w:bCs/>
                <w:sz w:val="18"/>
                <w:szCs w:val="18"/>
              </w:rPr>
            </w:pPr>
            <w:r w:rsidRPr="619EA3ED">
              <w:rPr>
                <w:b/>
                <w:bCs/>
                <w:sz w:val="18"/>
                <w:szCs w:val="18"/>
              </w:rPr>
              <w:t>2015/2016</w:t>
            </w:r>
          </w:p>
        </w:tc>
        <w:tc>
          <w:tcPr>
            <w:tcW w:w="1503" w:type="dxa"/>
          </w:tcPr>
          <w:p w14:paraId="53106048" w14:textId="77777777" w:rsidR="00E91C48" w:rsidRPr="00E91C48" w:rsidRDefault="00E91C48" w:rsidP="619EA3ED">
            <w:pPr>
              <w:spacing w:before="60" w:after="60"/>
              <w:jc w:val="center"/>
              <w:rPr>
                <w:b/>
                <w:bCs/>
                <w:sz w:val="18"/>
                <w:szCs w:val="18"/>
              </w:rPr>
            </w:pPr>
            <w:r w:rsidRPr="619EA3ED">
              <w:rPr>
                <w:b/>
                <w:bCs/>
                <w:sz w:val="18"/>
                <w:szCs w:val="18"/>
              </w:rPr>
              <w:t>2016/2017</w:t>
            </w:r>
          </w:p>
        </w:tc>
        <w:tc>
          <w:tcPr>
            <w:tcW w:w="1503" w:type="dxa"/>
          </w:tcPr>
          <w:p w14:paraId="364A909F" w14:textId="77777777" w:rsidR="00E91C48" w:rsidRPr="00E91C48" w:rsidRDefault="00E91C48" w:rsidP="619EA3ED">
            <w:pPr>
              <w:spacing w:before="60" w:after="60"/>
              <w:jc w:val="center"/>
              <w:rPr>
                <w:b/>
                <w:bCs/>
                <w:sz w:val="18"/>
                <w:szCs w:val="18"/>
              </w:rPr>
            </w:pPr>
            <w:r w:rsidRPr="619EA3ED">
              <w:rPr>
                <w:b/>
                <w:bCs/>
                <w:sz w:val="18"/>
                <w:szCs w:val="18"/>
              </w:rPr>
              <w:t>2017/2018</w:t>
            </w:r>
          </w:p>
        </w:tc>
      </w:tr>
      <w:tr w:rsidR="000C2064" w14:paraId="0D8FA3DE" w14:textId="77777777" w:rsidTr="619EA3ED">
        <w:trPr>
          <w:jc w:val="center"/>
        </w:trPr>
        <w:tc>
          <w:tcPr>
            <w:tcW w:w="2636" w:type="dxa"/>
          </w:tcPr>
          <w:p w14:paraId="0561B5BC" w14:textId="1E9B738F" w:rsidR="000C2064" w:rsidRPr="00E91C48" w:rsidRDefault="000C2064" w:rsidP="619EA3ED">
            <w:pPr>
              <w:spacing w:before="60" w:after="60"/>
              <w:rPr>
                <w:b/>
                <w:bCs/>
                <w:sz w:val="18"/>
                <w:szCs w:val="18"/>
              </w:rPr>
            </w:pPr>
            <w:r w:rsidRPr="619EA3ED">
              <w:rPr>
                <w:b/>
                <w:bCs/>
                <w:sz w:val="18"/>
                <w:szCs w:val="18"/>
              </w:rPr>
              <w:t xml:space="preserve">New starts </w:t>
            </w:r>
            <w:r w:rsidR="76266298" w:rsidRPr="7030D1C2">
              <w:rPr>
                <w:b/>
                <w:bCs/>
                <w:sz w:val="18"/>
                <w:szCs w:val="18"/>
              </w:rPr>
              <w:t>(N)</w:t>
            </w:r>
          </w:p>
        </w:tc>
        <w:tc>
          <w:tcPr>
            <w:tcW w:w="1308" w:type="dxa"/>
          </w:tcPr>
          <w:p w14:paraId="10859CCE" w14:textId="77777777" w:rsidR="000C2064" w:rsidRPr="000C2064" w:rsidRDefault="000C2064" w:rsidP="619EA3ED">
            <w:pPr>
              <w:spacing w:before="60" w:after="60"/>
              <w:jc w:val="center"/>
              <w:rPr>
                <w:sz w:val="18"/>
                <w:szCs w:val="18"/>
              </w:rPr>
            </w:pPr>
            <w:r w:rsidRPr="619EA3ED">
              <w:rPr>
                <w:sz w:val="18"/>
                <w:szCs w:val="18"/>
              </w:rPr>
              <w:t>109</w:t>
            </w:r>
          </w:p>
        </w:tc>
        <w:tc>
          <w:tcPr>
            <w:tcW w:w="1503" w:type="dxa"/>
          </w:tcPr>
          <w:p w14:paraId="70DD4474" w14:textId="77777777" w:rsidR="000C2064" w:rsidRPr="000C2064" w:rsidRDefault="000C2064" w:rsidP="619EA3ED">
            <w:pPr>
              <w:spacing w:before="60" w:after="60"/>
              <w:jc w:val="center"/>
              <w:rPr>
                <w:sz w:val="18"/>
                <w:szCs w:val="18"/>
              </w:rPr>
            </w:pPr>
            <w:r w:rsidRPr="619EA3ED">
              <w:rPr>
                <w:sz w:val="18"/>
                <w:szCs w:val="18"/>
              </w:rPr>
              <w:t>109</w:t>
            </w:r>
          </w:p>
        </w:tc>
        <w:tc>
          <w:tcPr>
            <w:tcW w:w="1503" w:type="dxa"/>
          </w:tcPr>
          <w:p w14:paraId="73980A20" w14:textId="77777777" w:rsidR="000C2064" w:rsidRPr="000C2064" w:rsidRDefault="000C2064" w:rsidP="619EA3ED">
            <w:pPr>
              <w:spacing w:before="60" w:after="60"/>
              <w:jc w:val="center"/>
              <w:rPr>
                <w:sz w:val="18"/>
                <w:szCs w:val="18"/>
              </w:rPr>
            </w:pPr>
            <w:r w:rsidRPr="619EA3ED">
              <w:rPr>
                <w:sz w:val="18"/>
                <w:szCs w:val="18"/>
              </w:rPr>
              <w:t>105</w:t>
            </w:r>
          </w:p>
        </w:tc>
        <w:tc>
          <w:tcPr>
            <w:tcW w:w="1503" w:type="dxa"/>
          </w:tcPr>
          <w:p w14:paraId="2AC974B9" w14:textId="77777777" w:rsidR="000C2064" w:rsidRPr="000C2064" w:rsidRDefault="000C2064" w:rsidP="619EA3ED">
            <w:pPr>
              <w:spacing w:before="60" w:after="60"/>
              <w:jc w:val="center"/>
              <w:rPr>
                <w:sz w:val="18"/>
                <w:szCs w:val="18"/>
              </w:rPr>
            </w:pPr>
            <w:r w:rsidRPr="619EA3ED">
              <w:rPr>
                <w:sz w:val="18"/>
                <w:szCs w:val="18"/>
              </w:rPr>
              <w:t>108</w:t>
            </w:r>
          </w:p>
        </w:tc>
      </w:tr>
      <w:tr w:rsidR="000C2064" w14:paraId="58118106" w14:textId="77777777" w:rsidTr="619EA3ED">
        <w:trPr>
          <w:jc w:val="center"/>
        </w:trPr>
        <w:tc>
          <w:tcPr>
            <w:tcW w:w="2636" w:type="dxa"/>
          </w:tcPr>
          <w:p w14:paraId="5A8E3A23" w14:textId="7E033202" w:rsidR="000C2064" w:rsidRPr="00E91C48" w:rsidRDefault="000C2064" w:rsidP="619EA3ED">
            <w:pPr>
              <w:spacing w:before="60" w:after="60"/>
              <w:rPr>
                <w:b/>
                <w:bCs/>
                <w:sz w:val="18"/>
                <w:szCs w:val="18"/>
              </w:rPr>
            </w:pPr>
            <w:r w:rsidRPr="619EA3ED">
              <w:rPr>
                <w:b/>
                <w:bCs/>
                <w:sz w:val="18"/>
                <w:szCs w:val="18"/>
              </w:rPr>
              <w:t>3-year survival</w:t>
            </w:r>
            <w:r w:rsidR="57DD6CAB" w:rsidRPr="7030D1C2">
              <w:rPr>
                <w:b/>
                <w:bCs/>
                <w:sz w:val="18"/>
                <w:szCs w:val="18"/>
              </w:rPr>
              <w:t xml:space="preserve"> (N)</w:t>
            </w:r>
          </w:p>
        </w:tc>
        <w:tc>
          <w:tcPr>
            <w:tcW w:w="1308" w:type="dxa"/>
          </w:tcPr>
          <w:p w14:paraId="1D593D4A" w14:textId="77777777" w:rsidR="000C2064" w:rsidRPr="000C2064" w:rsidRDefault="000C2064" w:rsidP="619EA3ED">
            <w:pPr>
              <w:spacing w:before="60" w:after="60"/>
              <w:jc w:val="center"/>
              <w:rPr>
                <w:sz w:val="18"/>
                <w:szCs w:val="18"/>
              </w:rPr>
            </w:pPr>
            <w:r w:rsidRPr="619EA3ED">
              <w:rPr>
                <w:sz w:val="18"/>
                <w:szCs w:val="18"/>
              </w:rPr>
              <w:t>89</w:t>
            </w:r>
          </w:p>
        </w:tc>
        <w:tc>
          <w:tcPr>
            <w:tcW w:w="1503" w:type="dxa"/>
          </w:tcPr>
          <w:p w14:paraId="0390FAEE" w14:textId="77777777" w:rsidR="000C2064" w:rsidRPr="000C2064" w:rsidRDefault="000C2064" w:rsidP="619EA3ED">
            <w:pPr>
              <w:spacing w:before="60" w:after="60"/>
              <w:jc w:val="center"/>
              <w:rPr>
                <w:sz w:val="18"/>
                <w:szCs w:val="18"/>
              </w:rPr>
            </w:pPr>
            <w:r w:rsidRPr="619EA3ED">
              <w:rPr>
                <w:sz w:val="18"/>
                <w:szCs w:val="18"/>
              </w:rPr>
              <w:t>91</w:t>
            </w:r>
          </w:p>
        </w:tc>
        <w:tc>
          <w:tcPr>
            <w:tcW w:w="1503" w:type="dxa"/>
          </w:tcPr>
          <w:p w14:paraId="6BF73508" w14:textId="77777777" w:rsidR="000C2064" w:rsidRPr="000C2064" w:rsidRDefault="000C2064" w:rsidP="619EA3ED">
            <w:pPr>
              <w:spacing w:before="60" w:after="60"/>
              <w:jc w:val="center"/>
              <w:rPr>
                <w:sz w:val="18"/>
                <w:szCs w:val="18"/>
              </w:rPr>
            </w:pPr>
            <w:r w:rsidRPr="619EA3ED">
              <w:rPr>
                <w:sz w:val="18"/>
                <w:szCs w:val="18"/>
              </w:rPr>
              <w:t>96</w:t>
            </w:r>
          </w:p>
        </w:tc>
        <w:tc>
          <w:tcPr>
            <w:tcW w:w="1503" w:type="dxa"/>
          </w:tcPr>
          <w:p w14:paraId="05BA5312" w14:textId="77777777" w:rsidR="000C2064" w:rsidRPr="000C2064" w:rsidRDefault="000C2064" w:rsidP="619EA3ED">
            <w:pPr>
              <w:spacing w:before="60" w:after="60"/>
              <w:jc w:val="center"/>
              <w:rPr>
                <w:sz w:val="18"/>
                <w:szCs w:val="18"/>
              </w:rPr>
            </w:pPr>
            <w:r w:rsidRPr="619EA3ED">
              <w:rPr>
                <w:sz w:val="18"/>
                <w:szCs w:val="18"/>
              </w:rPr>
              <w:t>99</w:t>
            </w:r>
          </w:p>
        </w:tc>
      </w:tr>
      <w:tr w:rsidR="000C2064" w14:paraId="0E38F514" w14:textId="77777777" w:rsidTr="619EA3ED">
        <w:trPr>
          <w:jc w:val="center"/>
        </w:trPr>
        <w:tc>
          <w:tcPr>
            <w:tcW w:w="2636" w:type="dxa"/>
          </w:tcPr>
          <w:p w14:paraId="328FB8D1" w14:textId="5212F11E" w:rsidR="000C2064" w:rsidRPr="00E91C48" w:rsidRDefault="000C2064" w:rsidP="619EA3ED">
            <w:pPr>
              <w:spacing w:before="60" w:after="60"/>
              <w:rPr>
                <w:b/>
                <w:bCs/>
                <w:sz w:val="18"/>
                <w:szCs w:val="18"/>
              </w:rPr>
            </w:pPr>
            <w:r w:rsidRPr="619EA3ED">
              <w:rPr>
                <w:b/>
                <w:bCs/>
                <w:sz w:val="18"/>
                <w:szCs w:val="18"/>
              </w:rPr>
              <w:t>Active</w:t>
            </w:r>
            <w:r w:rsidR="078E9A6E" w:rsidRPr="7030D1C2">
              <w:rPr>
                <w:b/>
                <w:bCs/>
                <w:sz w:val="18"/>
                <w:szCs w:val="18"/>
              </w:rPr>
              <w:t xml:space="preserve"> (N)</w:t>
            </w:r>
          </w:p>
        </w:tc>
        <w:tc>
          <w:tcPr>
            <w:tcW w:w="1308" w:type="dxa"/>
          </w:tcPr>
          <w:p w14:paraId="4EB20A82" w14:textId="77777777" w:rsidR="000C2064" w:rsidRPr="000C2064" w:rsidRDefault="000C2064" w:rsidP="619EA3ED">
            <w:pPr>
              <w:spacing w:before="60" w:after="60"/>
              <w:jc w:val="center"/>
              <w:rPr>
                <w:sz w:val="18"/>
                <w:szCs w:val="18"/>
              </w:rPr>
            </w:pPr>
            <w:r w:rsidRPr="619EA3ED">
              <w:rPr>
                <w:sz w:val="18"/>
                <w:szCs w:val="18"/>
              </w:rPr>
              <w:t>107</w:t>
            </w:r>
          </w:p>
        </w:tc>
        <w:tc>
          <w:tcPr>
            <w:tcW w:w="1503" w:type="dxa"/>
          </w:tcPr>
          <w:p w14:paraId="1F49FC3D" w14:textId="77777777" w:rsidR="000C2064" w:rsidRPr="000C2064" w:rsidRDefault="000C2064" w:rsidP="619EA3ED">
            <w:pPr>
              <w:spacing w:before="60" w:after="60"/>
              <w:jc w:val="center"/>
              <w:rPr>
                <w:sz w:val="18"/>
                <w:szCs w:val="18"/>
              </w:rPr>
            </w:pPr>
            <w:r w:rsidRPr="619EA3ED">
              <w:rPr>
                <w:sz w:val="18"/>
                <w:szCs w:val="18"/>
              </w:rPr>
              <w:t>107</w:t>
            </w:r>
          </w:p>
        </w:tc>
        <w:tc>
          <w:tcPr>
            <w:tcW w:w="1503" w:type="dxa"/>
          </w:tcPr>
          <w:p w14:paraId="745E6FEC" w14:textId="77777777" w:rsidR="000C2064" w:rsidRPr="000C2064" w:rsidRDefault="000C2064" w:rsidP="619EA3ED">
            <w:pPr>
              <w:spacing w:before="60" w:after="60"/>
              <w:jc w:val="center"/>
              <w:rPr>
                <w:sz w:val="18"/>
                <w:szCs w:val="18"/>
              </w:rPr>
            </w:pPr>
            <w:r w:rsidRPr="619EA3ED">
              <w:rPr>
                <w:sz w:val="18"/>
                <w:szCs w:val="18"/>
              </w:rPr>
              <w:t>109</w:t>
            </w:r>
          </w:p>
        </w:tc>
        <w:tc>
          <w:tcPr>
            <w:tcW w:w="1503" w:type="dxa"/>
          </w:tcPr>
          <w:p w14:paraId="65F8A0AD" w14:textId="77777777" w:rsidR="000C2064" w:rsidRPr="000C2064" w:rsidRDefault="000C2064" w:rsidP="619EA3ED">
            <w:pPr>
              <w:spacing w:before="60" w:after="60"/>
              <w:jc w:val="center"/>
              <w:rPr>
                <w:sz w:val="18"/>
                <w:szCs w:val="18"/>
              </w:rPr>
            </w:pPr>
            <w:r w:rsidRPr="619EA3ED">
              <w:rPr>
                <w:sz w:val="18"/>
                <w:szCs w:val="18"/>
              </w:rPr>
              <w:t>110</w:t>
            </w:r>
          </w:p>
        </w:tc>
      </w:tr>
      <w:tr w:rsidR="000C2064" w14:paraId="33D38CF6" w14:textId="77777777" w:rsidTr="619EA3ED">
        <w:trPr>
          <w:jc w:val="center"/>
        </w:trPr>
        <w:tc>
          <w:tcPr>
            <w:tcW w:w="2636" w:type="dxa"/>
          </w:tcPr>
          <w:p w14:paraId="3A1EA6C8" w14:textId="52567256" w:rsidR="000C2064" w:rsidRPr="00E91C48" w:rsidRDefault="000C2064" w:rsidP="619EA3ED">
            <w:pPr>
              <w:spacing w:before="60" w:after="60"/>
              <w:rPr>
                <w:b/>
                <w:bCs/>
                <w:sz w:val="18"/>
                <w:szCs w:val="18"/>
              </w:rPr>
            </w:pPr>
            <w:r w:rsidRPr="619EA3ED">
              <w:rPr>
                <w:b/>
                <w:bCs/>
                <w:sz w:val="18"/>
                <w:szCs w:val="18"/>
              </w:rPr>
              <w:t>Employment</w:t>
            </w:r>
            <w:r w:rsidR="31C93D1C" w:rsidRPr="7030D1C2">
              <w:rPr>
                <w:b/>
                <w:bCs/>
                <w:sz w:val="18"/>
                <w:szCs w:val="18"/>
              </w:rPr>
              <w:t xml:space="preserve"> (FTE)</w:t>
            </w:r>
          </w:p>
        </w:tc>
        <w:tc>
          <w:tcPr>
            <w:tcW w:w="1308" w:type="dxa"/>
          </w:tcPr>
          <w:p w14:paraId="44F10812" w14:textId="77777777" w:rsidR="000C2064" w:rsidRPr="000C2064" w:rsidRDefault="000C2064" w:rsidP="619EA3ED">
            <w:pPr>
              <w:spacing w:before="60" w:after="60"/>
              <w:jc w:val="center"/>
              <w:rPr>
                <w:sz w:val="18"/>
                <w:szCs w:val="18"/>
              </w:rPr>
            </w:pPr>
            <w:r w:rsidRPr="619EA3ED">
              <w:rPr>
                <w:sz w:val="18"/>
                <w:szCs w:val="18"/>
              </w:rPr>
              <w:t>94</w:t>
            </w:r>
          </w:p>
        </w:tc>
        <w:tc>
          <w:tcPr>
            <w:tcW w:w="1503" w:type="dxa"/>
          </w:tcPr>
          <w:p w14:paraId="6DCF63F7" w14:textId="77777777" w:rsidR="000C2064" w:rsidRPr="000C2064" w:rsidRDefault="000C2064" w:rsidP="619EA3ED">
            <w:pPr>
              <w:spacing w:before="60" w:after="60"/>
              <w:jc w:val="center"/>
              <w:rPr>
                <w:sz w:val="18"/>
                <w:szCs w:val="18"/>
              </w:rPr>
            </w:pPr>
            <w:r w:rsidRPr="619EA3ED">
              <w:rPr>
                <w:sz w:val="18"/>
                <w:szCs w:val="18"/>
              </w:rPr>
              <w:t>95</w:t>
            </w:r>
          </w:p>
        </w:tc>
        <w:tc>
          <w:tcPr>
            <w:tcW w:w="1503" w:type="dxa"/>
          </w:tcPr>
          <w:p w14:paraId="483AFB3B" w14:textId="77777777" w:rsidR="000C2064" w:rsidRPr="000C2064" w:rsidRDefault="000C2064" w:rsidP="619EA3ED">
            <w:pPr>
              <w:spacing w:before="60" w:after="60"/>
              <w:jc w:val="center"/>
              <w:rPr>
                <w:sz w:val="18"/>
                <w:szCs w:val="18"/>
              </w:rPr>
            </w:pPr>
            <w:r w:rsidRPr="619EA3ED">
              <w:rPr>
                <w:sz w:val="18"/>
                <w:szCs w:val="18"/>
              </w:rPr>
              <w:t>95</w:t>
            </w:r>
          </w:p>
        </w:tc>
        <w:tc>
          <w:tcPr>
            <w:tcW w:w="1503" w:type="dxa"/>
          </w:tcPr>
          <w:p w14:paraId="19C4F40E" w14:textId="77777777" w:rsidR="000C2064" w:rsidRPr="000C2064" w:rsidRDefault="000C2064" w:rsidP="619EA3ED">
            <w:pPr>
              <w:spacing w:before="60" w:after="60"/>
              <w:jc w:val="center"/>
              <w:rPr>
                <w:sz w:val="18"/>
                <w:szCs w:val="18"/>
              </w:rPr>
            </w:pPr>
            <w:r w:rsidRPr="619EA3ED">
              <w:rPr>
                <w:sz w:val="18"/>
                <w:szCs w:val="18"/>
              </w:rPr>
              <w:t>99</w:t>
            </w:r>
          </w:p>
        </w:tc>
      </w:tr>
      <w:tr w:rsidR="000C2064" w14:paraId="797C4096" w14:textId="77777777" w:rsidTr="619EA3ED">
        <w:trPr>
          <w:jc w:val="center"/>
        </w:trPr>
        <w:tc>
          <w:tcPr>
            <w:tcW w:w="2636" w:type="dxa"/>
          </w:tcPr>
          <w:p w14:paraId="55D384F8" w14:textId="77777777" w:rsidR="000C2064" w:rsidRPr="00E91C48" w:rsidRDefault="000C2064" w:rsidP="619EA3ED">
            <w:pPr>
              <w:spacing w:before="60" w:after="60"/>
              <w:rPr>
                <w:b/>
                <w:bCs/>
                <w:sz w:val="18"/>
                <w:szCs w:val="18"/>
              </w:rPr>
            </w:pPr>
            <w:r w:rsidRPr="619EA3ED">
              <w:rPr>
                <w:b/>
                <w:bCs/>
                <w:sz w:val="18"/>
                <w:szCs w:val="18"/>
              </w:rPr>
              <w:t>Turnover (000s)</w:t>
            </w:r>
          </w:p>
        </w:tc>
        <w:tc>
          <w:tcPr>
            <w:tcW w:w="1308" w:type="dxa"/>
          </w:tcPr>
          <w:p w14:paraId="2EA10280" w14:textId="77777777" w:rsidR="000C2064" w:rsidRPr="000C2064" w:rsidRDefault="000C2064" w:rsidP="619EA3ED">
            <w:pPr>
              <w:spacing w:before="60" w:after="60"/>
              <w:jc w:val="center"/>
              <w:rPr>
                <w:sz w:val="18"/>
                <w:szCs w:val="18"/>
              </w:rPr>
            </w:pPr>
            <w:r w:rsidRPr="619EA3ED">
              <w:rPr>
                <w:sz w:val="18"/>
                <w:szCs w:val="18"/>
              </w:rPr>
              <w:t>89</w:t>
            </w:r>
          </w:p>
        </w:tc>
        <w:tc>
          <w:tcPr>
            <w:tcW w:w="1503" w:type="dxa"/>
          </w:tcPr>
          <w:p w14:paraId="71E9AB42" w14:textId="77777777" w:rsidR="000C2064" w:rsidRPr="000C2064" w:rsidRDefault="000C2064" w:rsidP="619EA3ED">
            <w:pPr>
              <w:spacing w:before="60" w:after="60"/>
              <w:jc w:val="center"/>
              <w:rPr>
                <w:sz w:val="18"/>
                <w:szCs w:val="18"/>
              </w:rPr>
            </w:pPr>
            <w:r w:rsidRPr="619EA3ED">
              <w:rPr>
                <w:sz w:val="18"/>
                <w:szCs w:val="18"/>
              </w:rPr>
              <w:t>91</w:t>
            </w:r>
          </w:p>
        </w:tc>
        <w:tc>
          <w:tcPr>
            <w:tcW w:w="1503" w:type="dxa"/>
          </w:tcPr>
          <w:p w14:paraId="2C5BFD1C" w14:textId="77777777" w:rsidR="000C2064" w:rsidRPr="000C2064" w:rsidRDefault="000C2064" w:rsidP="619EA3ED">
            <w:pPr>
              <w:spacing w:before="60" w:after="60"/>
              <w:jc w:val="center"/>
              <w:rPr>
                <w:sz w:val="18"/>
                <w:szCs w:val="18"/>
              </w:rPr>
            </w:pPr>
            <w:r w:rsidRPr="619EA3ED">
              <w:rPr>
                <w:sz w:val="18"/>
                <w:szCs w:val="18"/>
              </w:rPr>
              <w:t>90</w:t>
            </w:r>
          </w:p>
        </w:tc>
        <w:tc>
          <w:tcPr>
            <w:tcW w:w="1503" w:type="dxa"/>
          </w:tcPr>
          <w:p w14:paraId="6009F802" w14:textId="77777777" w:rsidR="000C2064" w:rsidRPr="000C2064" w:rsidRDefault="000C2064" w:rsidP="619EA3ED">
            <w:pPr>
              <w:spacing w:before="60" w:after="60"/>
              <w:jc w:val="center"/>
              <w:rPr>
                <w:sz w:val="18"/>
                <w:szCs w:val="18"/>
              </w:rPr>
            </w:pPr>
            <w:r w:rsidRPr="619EA3ED">
              <w:rPr>
                <w:sz w:val="18"/>
                <w:szCs w:val="18"/>
              </w:rPr>
              <w:t>91</w:t>
            </w:r>
          </w:p>
        </w:tc>
      </w:tr>
      <w:tr w:rsidR="000C2064" w14:paraId="0AF3EFD2" w14:textId="77777777" w:rsidTr="619EA3ED">
        <w:trPr>
          <w:jc w:val="center"/>
        </w:trPr>
        <w:tc>
          <w:tcPr>
            <w:tcW w:w="2636" w:type="dxa"/>
          </w:tcPr>
          <w:p w14:paraId="2EC6AEDB" w14:textId="77777777" w:rsidR="000C2064" w:rsidRPr="00E91C48" w:rsidRDefault="000C2064" w:rsidP="619EA3ED">
            <w:pPr>
              <w:spacing w:before="60" w:after="60"/>
              <w:rPr>
                <w:b/>
                <w:bCs/>
                <w:sz w:val="18"/>
                <w:szCs w:val="18"/>
              </w:rPr>
            </w:pPr>
            <w:r w:rsidRPr="619EA3ED">
              <w:rPr>
                <w:b/>
                <w:bCs/>
                <w:sz w:val="18"/>
                <w:szCs w:val="18"/>
              </w:rPr>
              <w:t>Investment (000s)</w:t>
            </w:r>
          </w:p>
        </w:tc>
        <w:tc>
          <w:tcPr>
            <w:tcW w:w="1308" w:type="dxa"/>
          </w:tcPr>
          <w:p w14:paraId="172EE4D9" w14:textId="77777777" w:rsidR="000C2064" w:rsidRPr="000C2064" w:rsidRDefault="000C2064" w:rsidP="619EA3ED">
            <w:pPr>
              <w:spacing w:before="60" w:after="60"/>
              <w:jc w:val="center"/>
              <w:rPr>
                <w:sz w:val="18"/>
                <w:szCs w:val="18"/>
              </w:rPr>
            </w:pPr>
            <w:r w:rsidRPr="619EA3ED">
              <w:rPr>
                <w:sz w:val="18"/>
                <w:szCs w:val="18"/>
              </w:rPr>
              <w:t>59</w:t>
            </w:r>
          </w:p>
        </w:tc>
        <w:tc>
          <w:tcPr>
            <w:tcW w:w="1503" w:type="dxa"/>
          </w:tcPr>
          <w:p w14:paraId="7D0E11C6" w14:textId="77777777" w:rsidR="000C2064" w:rsidRPr="000C2064" w:rsidRDefault="000C2064" w:rsidP="619EA3ED">
            <w:pPr>
              <w:spacing w:before="60" w:after="60"/>
              <w:jc w:val="center"/>
              <w:rPr>
                <w:sz w:val="18"/>
                <w:szCs w:val="18"/>
              </w:rPr>
            </w:pPr>
            <w:r w:rsidRPr="619EA3ED">
              <w:rPr>
                <w:sz w:val="18"/>
                <w:szCs w:val="18"/>
              </w:rPr>
              <w:t>62</w:t>
            </w:r>
          </w:p>
        </w:tc>
        <w:tc>
          <w:tcPr>
            <w:tcW w:w="1503" w:type="dxa"/>
          </w:tcPr>
          <w:p w14:paraId="1FCCDAEF" w14:textId="77777777" w:rsidR="000C2064" w:rsidRPr="000C2064" w:rsidRDefault="000C2064" w:rsidP="619EA3ED">
            <w:pPr>
              <w:spacing w:before="60" w:after="60"/>
              <w:jc w:val="center"/>
              <w:rPr>
                <w:sz w:val="18"/>
                <w:szCs w:val="18"/>
              </w:rPr>
            </w:pPr>
            <w:r w:rsidRPr="619EA3ED">
              <w:rPr>
                <w:sz w:val="18"/>
                <w:szCs w:val="18"/>
              </w:rPr>
              <w:t>59</w:t>
            </w:r>
          </w:p>
        </w:tc>
        <w:tc>
          <w:tcPr>
            <w:tcW w:w="1503" w:type="dxa"/>
          </w:tcPr>
          <w:p w14:paraId="10F7BBFF" w14:textId="77777777" w:rsidR="000C2064" w:rsidRPr="000C2064" w:rsidRDefault="000C2064" w:rsidP="619EA3ED">
            <w:pPr>
              <w:spacing w:before="60" w:after="60"/>
              <w:jc w:val="center"/>
              <w:rPr>
                <w:sz w:val="18"/>
                <w:szCs w:val="18"/>
              </w:rPr>
            </w:pPr>
            <w:r w:rsidRPr="619EA3ED">
              <w:rPr>
                <w:sz w:val="18"/>
                <w:szCs w:val="18"/>
              </w:rPr>
              <w:t>66</w:t>
            </w:r>
          </w:p>
        </w:tc>
      </w:tr>
      <w:tr w:rsidR="000C2064" w14:paraId="73AB3AF3" w14:textId="77777777" w:rsidTr="619EA3ED">
        <w:trPr>
          <w:jc w:val="center"/>
        </w:trPr>
        <w:tc>
          <w:tcPr>
            <w:tcW w:w="2636" w:type="dxa"/>
          </w:tcPr>
          <w:p w14:paraId="4B43F805" w14:textId="77777777" w:rsidR="000C2064" w:rsidRPr="00E91C48" w:rsidRDefault="000C2064" w:rsidP="619EA3ED">
            <w:pPr>
              <w:spacing w:before="60" w:after="60"/>
              <w:rPr>
                <w:b/>
                <w:bCs/>
                <w:sz w:val="18"/>
                <w:szCs w:val="18"/>
              </w:rPr>
            </w:pPr>
            <w:r w:rsidRPr="619EA3ED">
              <w:rPr>
                <w:b/>
                <w:bCs/>
                <w:sz w:val="18"/>
                <w:szCs w:val="18"/>
              </w:rPr>
              <w:t>Total number of institutions</w:t>
            </w:r>
          </w:p>
        </w:tc>
        <w:tc>
          <w:tcPr>
            <w:tcW w:w="1308" w:type="dxa"/>
          </w:tcPr>
          <w:p w14:paraId="098EC285" w14:textId="77777777" w:rsidR="000C2064" w:rsidRPr="000C2064" w:rsidRDefault="000C2064" w:rsidP="619EA3ED">
            <w:pPr>
              <w:spacing w:before="60" w:after="60"/>
              <w:jc w:val="center"/>
              <w:rPr>
                <w:b/>
                <w:bCs/>
                <w:sz w:val="18"/>
                <w:szCs w:val="18"/>
              </w:rPr>
            </w:pPr>
            <w:r w:rsidRPr="619EA3ED">
              <w:rPr>
                <w:b/>
                <w:bCs/>
                <w:sz w:val="18"/>
                <w:szCs w:val="18"/>
              </w:rPr>
              <w:t>165</w:t>
            </w:r>
          </w:p>
        </w:tc>
        <w:tc>
          <w:tcPr>
            <w:tcW w:w="1503" w:type="dxa"/>
          </w:tcPr>
          <w:p w14:paraId="44C90E9B" w14:textId="77777777" w:rsidR="000C2064" w:rsidRPr="000C2064" w:rsidRDefault="000C2064" w:rsidP="619EA3ED">
            <w:pPr>
              <w:spacing w:before="60" w:after="60"/>
              <w:jc w:val="center"/>
              <w:rPr>
                <w:b/>
                <w:bCs/>
                <w:sz w:val="18"/>
                <w:szCs w:val="18"/>
              </w:rPr>
            </w:pPr>
            <w:r w:rsidRPr="619EA3ED">
              <w:rPr>
                <w:b/>
                <w:bCs/>
                <w:sz w:val="18"/>
                <w:szCs w:val="18"/>
              </w:rPr>
              <w:t>166</w:t>
            </w:r>
          </w:p>
        </w:tc>
        <w:tc>
          <w:tcPr>
            <w:tcW w:w="1503" w:type="dxa"/>
          </w:tcPr>
          <w:p w14:paraId="7042232D" w14:textId="77777777" w:rsidR="000C2064" w:rsidRPr="000C2064" w:rsidRDefault="000C2064" w:rsidP="619EA3ED">
            <w:pPr>
              <w:spacing w:before="60" w:after="60"/>
              <w:jc w:val="center"/>
              <w:rPr>
                <w:b/>
                <w:bCs/>
                <w:sz w:val="18"/>
                <w:szCs w:val="18"/>
              </w:rPr>
            </w:pPr>
            <w:r w:rsidRPr="619EA3ED">
              <w:rPr>
                <w:b/>
                <w:bCs/>
                <w:sz w:val="18"/>
                <w:szCs w:val="18"/>
              </w:rPr>
              <w:t>167</w:t>
            </w:r>
          </w:p>
        </w:tc>
        <w:tc>
          <w:tcPr>
            <w:tcW w:w="1503" w:type="dxa"/>
          </w:tcPr>
          <w:p w14:paraId="344C7181" w14:textId="77777777" w:rsidR="000C2064" w:rsidRPr="000C2064" w:rsidRDefault="000C2064" w:rsidP="619EA3ED">
            <w:pPr>
              <w:spacing w:before="60" w:after="60"/>
              <w:jc w:val="center"/>
              <w:rPr>
                <w:b/>
                <w:bCs/>
                <w:sz w:val="18"/>
                <w:szCs w:val="18"/>
              </w:rPr>
            </w:pPr>
            <w:r w:rsidRPr="619EA3ED">
              <w:rPr>
                <w:b/>
                <w:bCs/>
                <w:sz w:val="18"/>
                <w:szCs w:val="18"/>
              </w:rPr>
              <w:t>167</w:t>
            </w:r>
          </w:p>
        </w:tc>
      </w:tr>
    </w:tbl>
    <w:p w14:paraId="3DC29B48" w14:textId="77777777" w:rsidR="00594C39" w:rsidRDefault="00594C39" w:rsidP="00A158CE">
      <w:pPr>
        <w:jc w:val="both"/>
      </w:pPr>
    </w:p>
    <w:p w14:paraId="30404F16" w14:textId="5DC83EC1" w:rsidR="6C4A196A" w:rsidRDefault="6C4A196A" w:rsidP="08928105">
      <w:pPr>
        <w:jc w:val="both"/>
        <w:rPr>
          <w:color w:val="1F4E79" w:themeColor="accent1" w:themeShade="80"/>
          <w:sz w:val="18"/>
          <w:szCs w:val="18"/>
        </w:rPr>
      </w:pPr>
      <w:r w:rsidRPr="08928105">
        <w:rPr>
          <w:color w:val="1F4E79" w:themeColor="accent1" w:themeShade="80"/>
          <w:sz w:val="18"/>
          <w:szCs w:val="18"/>
        </w:rPr>
        <w:t xml:space="preserve">Table 6: Mean, median, and range statistics </w:t>
      </w:r>
      <w:r w:rsidR="77A3BE71" w:rsidRPr="7030D1C2">
        <w:rPr>
          <w:color w:val="1F4E79" w:themeColor="accent1" w:themeShade="80"/>
          <w:sz w:val="18"/>
          <w:szCs w:val="18"/>
        </w:rPr>
        <w:t xml:space="preserve">(by institution) </w:t>
      </w:r>
      <w:r w:rsidRPr="08928105">
        <w:rPr>
          <w:color w:val="1F4E79" w:themeColor="accent1" w:themeShade="80"/>
          <w:sz w:val="18"/>
          <w:szCs w:val="18"/>
        </w:rPr>
        <w:t>for each HE-BCI graduate spin-out item for 2017/2018</w:t>
      </w:r>
      <w:r w:rsidR="24E47DAE" w:rsidRPr="7030D1C2">
        <w:rPr>
          <w:color w:val="1F4E79" w:themeColor="accent1" w:themeShade="80"/>
          <w:sz w:val="18"/>
          <w:szCs w:val="18"/>
        </w:rPr>
        <w:t xml:space="preserve"> </w:t>
      </w:r>
    </w:p>
    <w:tbl>
      <w:tblPr>
        <w:tblStyle w:val="TableGrid"/>
        <w:tblW w:w="0" w:type="auto"/>
        <w:jc w:val="center"/>
        <w:tblLook w:val="04A0" w:firstRow="1" w:lastRow="0" w:firstColumn="1" w:lastColumn="0" w:noHBand="0" w:noVBand="1"/>
      </w:tblPr>
      <w:tblGrid>
        <w:gridCol w:w="1349"/>
        <w:gridCol w:w="1274"/>
        <w:gridCol w:w="1259"/>
        <w:gridCol w:w="1094"/>
        <w:gridCol w:w="1410"/>
        <w:gridCol w:w="1289"/>
        <w:gridCol w:w="1346"/>
      </w:tblGrid>
      <w:tr w:rsidR="08928105" w14:paraId="7FEC068D" w14:textId="77777777" w:rsidTr="08928105">
        <w:trPr>
          <w:jc w:val="center"/>
        </w:trPr>
        <w:tc>
          <w:tcPr>
            <w:tcW w:w="1350" w:type="dxa"/>
            <w:tcBorders>
              <w:top w:val="nil"/>
              <w:left w:val="nil"/>
            </w:tcBorders>
          </w:tcPr>
          <w:p w14:paraId="453C466D" w14:textId="77777777" w:rsidR="08928105" w:rsidRDefault="08928105" w:rsidP="08928105">
            <w:pPr>
              <w:spacing w:before="60" w:after="60"/>
              <w:jc w:val="both"/>
              <w:rPr>
                <w:sz w:val="18"/>
                <w:szCs w:val="18"/>
              </w:rPr>
            </w:pPr>
          </w:p>
        </w:tc>
        <w:tc>
          <w:tcPr>
            <w:tcW w:w="1275" w:type="dxa"/>
          </w:tcPr>
          <w:p w14:paraId="619DD053" w14:textId="6D6862D2" w:rsidR="4E59F1FE" w:rsidRDefault="4E59F1FE" w:rsidP="08928105">
            <w:pPr>
              <w:spacing w:before="60" w:after="60"/>
              <w:jc w:val="center"/>
              <w:rPr>
                <w:b/>
                <w:bCs/>
                <w:sz w:val="18"/>
                <w:szCs w:val="18"/>
              </w:rPr>
            </w:pPr>
            <w:r w:rsidRPr="08928105">
              <w:rPr>
                <w:b/>
                <w:bCs/>
                <w:sz w:val="18"/>
                <w:szCs w:val="18"/>
              </w:rPr>
              <w:t>New starts</w:t>
            </w:r>
            <w:r w:rsidR="0DDEAFB5" w:rsidRPr="7030D1C2">
              <w:rPr>
                <w:b/>
                <w:bCs/>
                <w:sz w:val="18"/>
                <w:szCs w:val="18"/>
              </w:rPr>
              <w:t xml:space="preserve"> </w:t>
            </w:r>
            <w:r>
              <w:br/>
            </w:r>
            <w:r w:rsidR="0DDEAFB5" w:rsidRPr="7030D1C2">
              <w:rPr>
                <w:b/>
                <w:bCs/>
                <w:sz w:val="18"/>
                <w:szCs w:val="18"/>
              </w:rPr>
              <w:t>(N)</w:t>
            </w:r>
          </w:p>
        </w:tc>
        <w:tc>
          <w:tcPr>
            <w:tcW w:w="1260" w:type="dxa"/>
          </w:tcPr>
          <w:p w14:paraId="7771CCFE" w14:textId="269754F8" w:rsidR="4E59F1FE" w:rsidRDefault="4E59F1FE" w:rsidP="08928105">
            <w:pPr>
              <w:spacing w:before="60" w:after="60"/>
              <w:jc w:val="center"/>
              <w:rPr>
                <w:b/>
                <w:bCs/>
                <w:sz w:val="18"/>
                <w:szCs w:val="18"/>
              </w:rPr>
            </w:pPr>
            <w:r w:rsidRPr="08928105">
              <w:rPr>
                <w:b/>
                <w:bCs/>
                <w:sz w:val="18"/>
                <w:szCs w:val="18"/>
              </w:rPr>
              <w:t>3-year survival</w:t>
            </w:r>
            <w:r>
              <w:br/>
            </w:r>
            <w:r w:rsidR="6BB6E55D" w:rsidRPr="7030D1C2">
              <w:rPr>
                <w:b/>
                <w:bCs/>
                <w:sz w:val="18"/>
                <w:szCs w:val="18"/>
              </w:rPr>
              <w:t>(N)</w:t>
            </w:r>
          </w:p>
        </w:tc>
        <w:tc>
          <w:tcPr>
            <w:tcW w:w="1095" w:type="dxa"/>
          </w:tcPr>
          <w:p w14:paraId="21A5C8E6" w14:textId="287BE75E" w:rsidR="4E59F1FE" w:rsidRDefault="4E59F1FE" w:rsidP="08928105">
            <w:pPr>
              <w:spacing w:before="60" w:after="60"/>
              <w:jc w:val="center"/>
              <w:rPr>
                <w:b/>
                <w:bCs/>
                <w:sz w:val="18"/>
                <w:szCs w:val="18"/>
              </w:rPr>
            </w:pPr>
            <w:r w:rsidRPr="08928105">
              <w:rPr>
                <w:b/>
                <w:bCs/>
                <w:sz w:val="18"/>
                <w:szCs w:val="18"/>
              </w:rPr>
              <w:t>Active</w:t>
            </w:r>
            <w:r>
              <w:br/>
            </w:r>
            <w:r w:rsidR="09025AE0" w:rsidRPr="7030D1C2">
              <w:rPr>
                <w:b/>
                <w:bCs/>
                <w:sz w:val="18"/>
                <w:szCs w:val="18"/>
              </w:rPr>
              <w:t>(N)</w:t>
            </w:r>
          </w:p>
        </w:tc>
        <w:tc>
          <w:tcPr>
            <w:tcW w:w="1410" w:type="dxa"/>
          </w:tcPr>
          <w:p w14:paraId="41F7192A" w14:textId="06F481A1" w:rsidR="4E59F1FE" w:rsidRDefault="4E59F1FE" w:rsidP="08928105">
            <w:pPr>
              <w:spacing w:before="60" w:after="60"/>
              <w:jc w:val="center"/>
              <w:rPr>
                <w:b/>
                <w:bCs/>
                <w:sz w:val="18"/>
                <w:szCs w:val="18"/>
              </w:rPr>
            </w:pPr>
            <w:r w:rsidRPr="08928105">
              <w:rPr>
                <w:b/>
                <w:bCs/>
                <w:sz w:val="18"/>
                <w:szCs w:val="18"/>
              </w:rPr>
              <w:t>Employment</w:t>
            </w:r>
          </w:p>
          <w:p w14:paraId="01AC1BD8" w14:textId="2646184B" w:rsidR="08928105" w:rsidRDefault="24BADB31" w:rsidP="08928105">
            <w:pPr>
              <w:spacing w:before="60" w:after="60"/>
              <w:jc w:val="center"/>
              <w:rPr>
                <w:b/>
                <w:bCs/>
                <w:sz w:val="18"/>
                <w:szCs w:val="18"/>
              </w:rPr>
            </w:pPr>
            <w:r w:rsidRPr="7030D1C2">
              <w:rPr>
                <w:b/>
                <w:bCs/>
                <w:sz w:val="18"/>
                <w:szCs w:val="18"/>
              </w:rPr>
              <w:t>(FTE)</w:t>
            </w:r>
          </w:p>
        </w:tc>
        <w:tc>
          <w:tcPr>
            <w:tcW w:w="1290" w:type="dxa"/>
          </w:tcPr>
          <w:p w14:paraId="0CF5E968" w14:textId="660E7186" w:rsidR="4E59F1FE" w:rsidRDefault="4E59F1FE" w:rsidP="08928105">
            <w:pPr>
              <w:spacing w:before="60" w:after="60"/>
              <w:jc w:val="center"/>
              <w:rPr>
                <w:b/>
                <w:bCs/>
                <w:sz w:val="18"/>
                <w:szCs w:val="18"/>
              </w:rPr>
            </w:pPr>
            <w:r w:rsidRPr="08928105">
              <w:rPr>
                <w:b/>
                <w:bCs/>
                <w:sz w:val="18"/>
                <w:szCs w:val="18"/>
              </w:rPr>
              <w:t>Turnover (000s)</w:t>
            </w:r>
          </w:p>
        </w:tc>
        <w:tc>
          <w:tcPr>
            <w:tcW w:w="1346" w:type="dxa"/>
          </w:tcPr>
          <w:p w14:paraId="248D7F04" w14:textId="39E88F1D" w:rsidR="4E59F1FE" w:rsidRDefault="4E59F1FE" w:rsidP="08928105">
            <w:pPr>
              <w:spacing w:before="60" w:after="60"/>
              <w:jc w:val="center"/>
              <w:rPr>
                <w:b/>
                <w:bCs/>
                <w:sz w:val="18"/>
                <w:szCs w:val="18"/>
              </w:rPr>
            </w:pPr>
            <w:r w:rsidRPr="08928105">
              <w:rPr>
                <w:b/>
                <w:bCs/>
                <w:sz w:val="18"/>
                <w:szCs w:val="18"/>
              </w:rPr>
              <w:t>Investment (000s)</w:t>
            </w:r>
          </w:p>
        </w:tc>
      </w:tr>
      <w:tr w:rsidR="08928105" w14:paraId="04EE4CE9" w14:textId="77777777" w:rsidTr="08928105">
        <w:trPr>
          <w:jc w:val="center"/>
        </w:trPr>
        <w:tc>
          <w:tcPr>
            <w:tcW w:w="1350" w:type="dxa"/>
          </w:tcPr>
          <w:p w14:paraId="7D948016" w14:textId="39A1B9BB" w:rsidR="63AE5144" w:rsidRDefault="63AE5144" w:rsidP="08928105">
            <w:pPr>
              <w:spacing w:before="60" w:after="60"/>
              <w:rPr>
                <w:b/>
                <w:bCs/>
                <w:sz w:val="18"/>
                <w:szCs w:val="18"/>
              </w:rPr>
            </w:pPr>
            <w:r w:rsidRPr="08928105">
              <w:rPr>
                <w:b/>
                <w:bCs/>
                <w:sz w:val="18"/>
                <w:szCs w:val="18"/>
              </w:rPr>
              <w:t>Mean</w:t>
            </w:r>
          </w:p>
        </w:tc>
        <w:tc>
          <w:tcPr>
            <w:tcW w:w="1275" w:type="dxa"/>
          </w:tcPr>
          <w:p w14:paraId="37747934" w14:textId="6693426F" w:rsidR="253731AD" w:rsidRDefault="253731AD" w:rsidP="7030D1C2">
            <w:pPr>
              <w:spacing w:before="60" w:after="60"/>
              <w:jc w:val="center"/>
              <w:rPr>
                <w:sz w:val="18"/>
                <w:szCs w:val="18"/>
              </w:rPr>
            </w:pPr>
            <w:r w:rsidRPr="7030D1C2">
              <w:rPr>
                <w:sz w:val="18"/>
                <w:szCs w:val="18"/>
              </w:rPr>
              <w:t>38.</w:t>
            </w:r>
            <w:r w:rsidR="40699634" w:rsidRPr="7030D1C2">
              <w:rPr>
                <w:sz w:val="18"/>
                <w:szCs w:val="18"/>
              </w:rPr>
              <w:t>3</w:t>
            </w:r>
          </w:p>
        </w:tc>
        <w:tc>
          <w:tcPr>
            <w:tcW w:w="1260" w:type="dxa"/>
          </w:tcPr>
          <w:p w14:paraId="46BE0CFC" w14:textId="3E6A96F5" w:rsidR="08928105" w:rsidRDefault="2E5D9E1A" w:rsidP="08928105">
            <w:pPr>
              <w:spacing w:before="60" w:after="60"/>
              <w:jc w:val="center"/>
              <w:rPr>
                <w:sz w:val="18"/>
                <w:szCs w:val="18"/>
              </w:rPr>
            </w:pPr>
            <w:r w:rsidRPr="7030D1C2">
              <w:rPr>
                <w:sz w:val="18"/>
                <w:szCs w:val="18"/>
              </w:rPr>
              <w:t>64.4</w:t>
            </w:r>
          </w:p>
        </w:tc>
        <w:tc>
          <w:tcPr>
            <w:tcW w:w="1095" w:type="dxa"/>
          </w:tcPr>
          <w:p w14:paraId="798F1325" w14:textId="1F21F3E6" w:rsidR="08928105" w:rsidRDefault="2E5D9E1A" w:rsidP="08928105">
            <w:pPr>
              <w:spacing w:before="60" w:after="60"/>
              <w:jc w:val="center"/>
              <w:rPr>
                <w:sz w:val="18"/>
                <w:szCs w:val="18"/>
              </w:rPr>
            </w:pPr>
            <w:r w:rsidRPr="7030D1C2">
              <w:rPr>
                <w:sz w:val="18"/>
                <w:szCs w:val="18"/>
              </w:rPr>
              <w:t>124.4</w:t>
            </w:r>
          </w:p>
        </w:tc>
        <w:tc>
          <w:tcPr>
            <w:tcW w:w="1410" w:type="dxa"/>
          </w:tcPr>
          <w:p w14:paraId="19CB76B8" w14:textId="40E51653" w:rsidR="08928105" w:rsidRDefault="44695AC7" w:rsidP="08928105">
            <w:pPr>
              <w:spacing w:before="60" w:after="60"/>
              <w:jc w:val="center"/>
              <w:rPr>
                <w:sz w:val="18"/>
                <w:szCs w:val="18"/>
              </w:rPr>
            </w:pPr>
            <w:r w:rsidRPr="7030D1C2">
              <w:rPr>
                <w:sz w:val="18"/>
                <w:szCs w:val="18"/>
              </w:rPr>
              <w:t>254.9</w:t>
            </w:r>
          </w:p>
        </w:tc>
        <w:tc>
          <w:tcPr>
            <w:tcW w:w="1290" w:type="dxa"/>
          </w:tcPr>
          <w:p w14:paraId="56D87EB1" w14:textId="2D5E8770" w:rsidR="08928105" w:rsidRDefault="681D9104" w:rsidP="08928105">
            <w:pPr>
              <w:spacing w:before="60" w:after="60"/>
              <w:jc w:val="center"/>
              <w:rPr>
                <w:sz w:val="18"/>
                <w:szCs w:val="18"/>
              </w:rPr>
            </w:pPr>
            <w:r w:rsidRPr="7030D1C2">
              <w:rPr>
                <w:sz w:val="18"/>
                <w:szCs w:val="18"/>
              </w:rPr>
              <w:t>8,531</w:t>
            </w:r>
          </w:p>
        </w:tc>
        <w:tc>
          <w:tcPr>
            <w:tcW w:w="1346" w:type="dxa"/>
          </w:tcPr>
          <w:p w14:paraId="719BF9B4" w14:textId="073852FA" w:rsidR="08928105" w:rsidRDefault="0B0DA17D" w:rsidP="08928105">
            <w:pPr>
              <w:spacing w:before="60" w:after="60"/>
              <w:jc w:val="center"/>
              <w:rPr>
                <w:sz w:val="18"/>
                <w:szCs w:val="18"/>
              </w:rPr>
            </w:pPr>
            <w:r w:rsidRPr="7030D1C2">
              <w:rPr>
                <w:sz w:val="18"/>
                <w:szCs w:val="18"/>
              </w:rPr>
              <w:t>2,604</w:t>
            </w:r>
          </w:p>
        </w:tc>
      </w:tr>
      <w:tr w:rsidR="08928105" w14:paraId="3777A9F2" w14:textId="77777777" w:rsidTr="08928105">
        <w:trPr>
          <w:jc w:val="center"/>
        </w:trPr>
        <w:tc>
          <w:tcPr>
            <w:tcW w:w="1350" w:type="dxa"/>
          </w:tcPr>
          <w:p w14:paraId="03936704" w14:textId="3DDFA2A9" w:rsidR="27FCD778" w:rsidRDefault="27FCD778" w:rsidP="08928105">
            <w:pPr>
              <w:spacing w:before="60" w:after="60"/>
              <w:rPr>
                <w:rFonts w:ascii="Calibri" w:eastAsia="Calibri" w:hAnsi="Calibri" w:cs="Calibri"/>
                <w:color w:val="000000" w:themeColor="text1"/>
                <w:sz w:val="22"/>
              </w:rPr>
            </w:pPr>
            <w:r w:rsidRPr="08928105">
              <w:rPr>
                <w:b/>
                <w:bCs/>
                <w:sz w:val="18"/>
                <w:szCs w:val="18"/>
              </w:rPr>
              <w:t>Minimum</w:t>
            </w:r>
          </w:p>
        </w:tc>
        <w:tc>
          <w:tcPr>
            <w:tcW w:w="1275" w:type="dxa"/>
          </w:tcPr>
          <w:p w14:paraId="455E7940" w14:textId="065D10DC" w:rsidR="08928105" w:rsidRDefault="116BC9A1" w:rsidP="08928105">
            <w:pPr>
              <w:spacing w:before="60" w:after="60"/>
              <w:jc w:val="center"/>
              <w:rPr>
                <w:sz w:val="18"/>
                <w:szCs w:val="18"/>
              </w:rPr>
            </w:pPr>
            <w:r w:rsidRPr="7030D1C2">
              <w:rPr>
                <w:sz w:val="18"/>
                <w:szCs w:val="18"/>
              </w:rPr>
              <w:t>1</w:t>
            </w:r>
          </w:p>
        </w:tc>
        <w:tc>
          <w:tcPr>
            <w:tcW w:w="1260" w:type="dxa"/>
          </w:tcPr>
          <w:p w14:paraId="1B11B9E1" w14:textId="05A18740" w:rsidR="08928105" w:rsidRDefault="116BC9A1" w:rsidP="08928105">
            <w:pPr>
              <w:spacing w:before="60" w:after="60"/>
              <w:jc w:val="center"/>
              <w:rPr>
                <w:sz w:val="18"/>
                <w:szCs w:val="18"/>
              </w:rPr>
            </w:pPr>
            <w:r w:rsidRPr="7030D1C2">
              <w:rPr>
                <w:sz w:val="18"/>
                <w:szCs w:val="18"/>
              </w:rPr>
              <w:t>1</w:t>
            </w:r>
          </w:p>
        </w:tc>
        <w:tc>
          <w:tcPr>
            <w:tcW w:w="1095" w:type="dxa"/>
          </w:tcPr>
          <w:p w14:paraId="6503B0E4" w14:textId="6DA7F8D4" w:rsidR="08928105" w:rsidRDefault="116BC9A1" w:rsidP="08928105">
            <w:pPr>
              <w:spacing w:before="60" w:after="60"/>
              <w:jc w:val="center"/>
              <w:rPr>
                <w:sz w:val="18"/>
                <w:szCs w:val="18"/>
              </w:rPr>
            </w:pPr>
            <w:r w:rsidRPr="7030D1C2">
              <w:rPr>
                <w:sz w:val="18"/>
                <w:szCs w:val="18"/>
              </w:rPr>
              <w:t>1</w:t>
            </w:r>
          </w:p>
        </w:tc>
        <w:tc>
          <w:tcPr>
            <w:tcW w:w="1410" w:type="dxa"/>
          </w:tcPr>
          <w:p w14:paraId="425453D7" w14:textId="4C4BECAD" w:rsidR="08928105" w:rsidRDefault="116BC9A1" w:rsidP="08928105">
            <w:pPr>
              <w:spacing w:before="60" w:after="60"/>
              <w:jc w:val="center"/>
              <w:rPr>
                <w:sz w:val="18"/>
                <w:szCs w:val="18"/>
              </w:rPr>
            </w:pPr>
            <w:r w:rsidRPr="7030D1C2">
              <w:rPr>
                <w:sz w:val="18"/>
                <w:szCs w:val="18"/>
              </w:rPr>
              <w:t>1</w:t>
            </w:r>
          </w:p>
        </w:tc>
        <w:tc>
          <w:tcPr>
            <w:tcW w:w="1290" w:type="dxa"/>
          </w:tcPr>
          <w:p w14:paraId="65847961" w14:textId="66299369" w:rsidR="08928105" w:rsidRDefault="116BC9A1" w:rsidP="08928105">
            <w:pPr>
              <w:spacing w:before="60" w:after="60"/>
              <w:jc w:val="center"/>
              <w:rPr>
                <w:sz w:val="18"/>
                <w:szCs w:val="18"/>
              </w:rPr>
            </w:pPr>
            <w:r w:rsidRPr="7030D1C2">
              <w:rPr>
                <w:sz w:val="18"/>
                <w:szCs w:val="18"/>
              </w:rPr>
              <w:t>3</w:t>
            </w:r>
          </w:p>
        </w:tc>
        <w:tc>
          <w:tcPr>
            <w:tcW w:w="1346" w:type="dxa"/>
          </w:tcPr>
          <w:p w14:paraId="5404D01A" w14:textId="00F8117F" w:rsidR="08928105" w:rsidRDefault="116BC9A1" w:rsidP="08928105">
            <w:pPr>
              <w:spacing w:before="60" w:after="60"/>
              <w:jc w:val="center"/>
              <w:rPr>
                <w:sz w:val="18"/>
                <w:szCs w:val="18"/>
              </w:rPr>
            </w:pPr>
            <w:r w:rsidRPr="7030D1C2">
              <w:rPr>
                <w:sz w:val="18"/>
                <w:szCs w:val="18"/>
              </w:rPr>
              <w:t>3</w:t>
            </w:r>
          </w:p>
        </w:tc>
      </w:tr>
      <w:tr w:rsidR="08928105" w14:paraId="0A46EB73" w14:textId="77777777" w:rsidTr="08928105">
        <w:trPr>
          <w:jc w:val="center"/>
        </w:trPr>
        <w:tc>
          <w:tcPr>
            <w:tcW w:w="1350" w:type="dxa"/>
          </w:tcPr>
          <w:p w14:paraId="2258C18D" w14:textId="16ECAA2C" w:rsidR="27FCD778" w:rsidRDefault="27FCD778" w:rsidP="08928105">
            <w:pPr>
              <w:spacing w:before="60" w:after="60"/>
              <w:rPr>
                <w:b/>
                <w:bCs/>
                <w:sz w:val="18"/>
                <w:szCs w:val="18"/>
              </w:rPr>
            </w:pPr>
            <w:r w:rsidRPr="08928105">
              <w:rPr>
                <w:b/>
                <w:bCs/>
                <w:sz w:val="18"/>
                <w:szCs w:val="18"/>
              </w:rPr>
              <w:t>Quartile 1</w:t>
            </w:r>
          </w:p>
        </w:tc>
        <w:tc>
          <w:tcPr>
            <w:tcW w:w="1275" w:type="dxa"/>
          </w:tcPr>
          <w:p w14:paraId="2D582A14" w14:textId="5A1ED9F3" w:rsidR="08928105" w:rsidRDefault="061F6F16" w:rsidP="08928105">
            <w:pPr>
              <w:spacing w:before="60" w:after="60"/>
              <w:jc w:val="center"/>
              <w:rPr>
                <w:sz w:val="18"/>
                <w:szCs w:val="18"/>
              </w:rPr>
            </w:pPr>
            <w:r w:rsidRPr="7030D1C2">
              <w:rPr>
                <w:sz w:val="18"/>
                <w:szCs w:val="18"/>
              </w:rPr>
              <w:t>8</w:t>
            </w:r>
          </w:p>
        </w:tc>
        <w:tc>
          <w:tcPr>
            <w:tcW w:w="1260" w:type="dxa"/>
          </w:tcPr>
          <w:p w14:paraId="56114069" w14:textId="4B92145B" w:rsidR="08928105" w:rsidRDefault="061F6F16" w:rsidP="08928105">
            <w:pPr>
              <w:spacing w:before="60" w:after="60"/>
              <w:jc w:val="center"/>
              <w:rPr>
                <w:sz w:val="18"/>
                <w:szCs w:val="18"/>
              </w:rPr>
            </w:pPr>
            <w:r w:rsidRPr="7030D1C2">
              <w:rPr>
                <w:sz w:val="18"/>
                <w:szCs w:val="18"/>
              </w:rPr>
              <w:t>11.3</w:t>
            </w:r>
          </w:p>
        </w:tc>
        <w:tc>
          <w:tcPr>
            <w:tcW w:w="1095" w:type="dxa"/>
          </w:tcPr>
          <w:p w14:paraId="0E7BFC9E" w14:textId="7ADC1837" w:rsidR="08928105" w:rsidRDefault="061F6F16" w:rsidP="08928105">
            <w:pPr>
              <w:spacing w:before="60" w:after="60"/>
              <w:jc w:val="center"/>
              <w:rPr>
                <w:sz w:val="18"/>
                <w:szCs w:val="18"/>
              </w:rPr>
            </w:pPr>
            <w:r w:rsidRPr="7030D1C2">
              <w:rPr>
                <w:sz w:val="18"/>
                <w:szCs w:val="18"/>
              </w:rPr>
              <w:t>21</w:t>
            </w:r>
          </w:p>
        </w:tc>
        <w:tc>
          <w:tcPr>
            <w:tcW w:w="1410" w:type="dxa"/>
          </w:tcPr>
          <w:p w14:paraId="7DD75895" w14:textId="3910FB83" w:rsidR="08928105" w:rsidRDefault="061F6F16" w:rsidP="08928105">
            <w:pPr>
              <w:spacing w:before="60" w:after="60"/>
              <w:jc w:val="center"/>
              <w:rPr>
                <w:sz w:val="18"/>
                <w:szCs w:val="18"/>
              </w:rPr>
            </w:pPr>
            <w:r w:rsidRPr="7030D1C2">
              <w:rPr>
                <w:sz w:val="18"/>
                <w:szCs w:val="18"/>
              </w:rPr>
              <w:t>30</w:t>
            </w:r>
          </w:p>
        </w:tc>
        <w:tc>
          <w:tcPr>
            <w:tcW w:w="1290" w:type="dxa"/>
          </w:tcPr>
          <w:p w14:paraId="5A9B6347" w14:textId="2D0C80B2" w:rsidR="08928105" w:rsidRDefault="061F6F16" w:rsidP="08928105">
            <w:pPr>
              <w:spacing w:before="60" w:after="60"/>
              <w:jc w:val="center"/>
              <w:rPr>
                <w:sz w:val="18"/>
                <w:szCs w:val="18"/>
              </w:rPr>
            </w:pPr>
            <w:r w:rsidRPr="7030D1C2">
              <w:rPr>
                <w:sz w:val="18"/>
                <w:szCs w:val="18"/>
              </w:rPr>
              <w:t>518</w:t>
            </w:r>
          </w:p>
        </w:tc>
        <w:tc>
          <w:tcPr>
            <w:tcW w:w="1346" w:type="dxa"/>
          </w:tcPr>
          <w:p w14:paraId="298B56B0" w14:textId="7D1F867A" w:rsidR="08928105" w:rsidRDefault="061F6F16" w:rsidP="08928105">
            <w:pPr>
              <w:spacing w:before="60" w:after="60"/>
              <w:jc w:val="center"/>
              <w:rPr>
                <w:sz w:val="18"/>
                <w:szCs w:val="18"/>
              </w:rPr>
            </w:pPr>
            <w:r w:rsidRPr="7030D1C2">
              <w:rPr>
                <w:sz w:val="18"/>
                <w:szCs w:val="18"/>
              </w:rPr>
              <w:t>45</w:t>
            </w:r>
          </w:p>
        </w:tc>
      </w:tr>
      <w:tr w:rsidR="08928105" w14:paraId="47E34FCD" w14:textId="77777777" w:rsidTr="08928105">
        <w:trPr>
          <w:jc w:val="center"/>
        </w:trPr>
        <w:tc>
          <w:tcPr>
            <w:tcW w:w="1350" w:type="dxa"/>
          </w:tcPr>
          <w:p w14:paraId="5F42CCE9" w14:textId="2F907290" w:rsidR="27FCD778" w:rsidRDefault="27FCD778" w:rsidP="08928105">
            <w:pPr>
              <w:spacing w:before="60" w:after="60"/>
              <w:rPr>
                <w:b/>
                <w:bCs/>
                <w:sz w:val="18"/>
                <w:szCs w:val="18"/>
              </w:rPr>
            </w:pPr>
            <w:r w:rsidRPr="08928105">
              <w:rPr>
                <w:b/>
                <w:bCs/>
                <w:sz w:val="18"/>
                <w:szCs w:val="18"/>
              </w:rPr>
              <w:t>Median</w:t>
            </w:r>
          </w:p>
        </w:tc>
        <w:tc>
          <w:tcPr>
            <w:tcW w:w="1275" w:type="dxa"/>
          </w:tcPr>
          <w:p w14:paraId="73D1F343" w14:textId="047B2883" w:rsidR="08928105" w:rsidRDefault="041F0335" w:rsidP="08928105">
            <w:pPr>
              <w:spacing w:before="60" w:after="60"/>
              <w:jc w:val="center"/>
              <w:rPr>
                <w:sz w:val="18"/>
                <w:szCs w:val="18"/>
              </w:rPr>
            </w:pPr>
            <w:r w:rsidRPr="7030D1C2">
              <w:rPr>
                <w:sz w:val="18"/>
                <w:szCs w:val="18"/>
              </w:rPr>
              <w:t>23</w:t>
            </w:r>
          </w:p>
        </w:tc>
        <w:tc>
          <w:tcPr>
            <w:tcW w:w="1260" w:type="dxa"/>
          </w:tcPr>
          <w:p w14:paraId="5C33BC11" w14:textId="22D94583" w:rsidR="08928105" w:rsidRDefault="2AFCD29C" w:rsidP="08928105">
            <w:pPr>
              <w:spacing w:before="60" w:after="60"/>
              <w:jc w:val="center"/>
              <w:rPr>
                <w:sz w:val="18"/>
                <w:szCs w:val="18"/>
              </w:rPr>
            </w:pPr>
            <w:r w:rsidRPr="7030D1C2">
              <w:rPr>
                <w:sz w:val="18"/>
                <w:szCs w:val="18"/>
              </w:rPr>
              <w:t>31.5</w:t>
            </w:r>
          </w:p>
        </w:tc>
        <w:tc>
          <w:tcPr>
            <w:tcW w:w="1095" w:type="dxa"/>
          </w:tcPr>
          <w:p w14:paraId="28571CB5" w14:textId="71CC1E4A" w:rsidR="08928105" w:rsidRDefault="2AFCD29C" w:rsidP="08928105">
            <w:pPr>
              <w:spacing w:before="60" w:after="60"/>
              <w:jc w:val="center"/>
              <w:rPr>
                <w:sz w:val="18"/>
                <w:szCs w:val="18"/>
              </w:rPr>
            </w:pPr>
            <w:r w:rsidRPr="7030D1C2">
              <w:rPr>
                <w:sz w:val="18"/>
                <w:szCs w:val="18"/>
              </w:rPr>
              <w:t>69</w:t>
            </w:r>
          </w:p>
        </w:tc>
        <w:tc>
          <w:tcPr>
            <w:tcW w:w="1410" w:type="dxa"/>
          </w:tcPr>
          <w:p w14:paraId="0A12557F" w14:textId="3559203F" w:rsidR="08928105" w:rsidRDefault="2AFCD29C" w:rsidP="08928105">
            <w:pPr>
              <w:spacing w:before="60" w:after="60"/>
              <w:jc w:val="center"/>
              <w:rPr>
                <w:sz w:val="18"/>
                <w:szCs w:val="18"/>
              </w:rPr>
            </w:pPr>
            <w:r w:rsidRPr="7030D1C2">
              <w:rPr>
                <w:sz w:val="18"/>
                <w:szCs w:val="18"/>
              </w:rPr>
              <w:t>133.5</w:t>
            </w:r>
          </w:p>
        </w:tc>
        <w:tc>
          <w:tcPr>
            <w:tcW w:w="1290" w:type="dxa"/>
          </w:tcPr>
          <w:p w14:paraId="3402BEA8" w14:textId="4AE5CC66" w:rsidR="08928105" w:rsidRDefault="2AFCD29C" w:rsidP="08928105">
            <w:pPr>
              <w:spacing w:before="60" w:after="60"/>
              <w:jc w:val="center"/>
              <w:rPr>
                <w:sz w:val="18"/>
                <w:szCs w:val="18"/>
              </w:rPr>
            </w:pPr>
            <w:r w:rsidRPr="7030D1C2">
              <w:rPr>
                <w:sz w:val="18"/>
                <w:szCs w:val="18"/>
              </w:rPr>
              <w:t>2,986</w:t>
            </w:r>
          </w:p>
        </w:tc>
        <w:tc>
          <w:tcPr>
            <w:tcW w:w="1346" w:type="dxa"/>
          </w:tcPr>
          <w:p w14:paraId="5ADF4CA6" w14:textId="454E675C" w:rsidR="08928105" w:rsidRDefault="2AFCD29C" w:rsidP="08928105">
            <w:pPr>
              <w:spacing w:before="60" w:after="60"/>
              <w:jc w:val="center"/>
              <w:rPr>
                <w:sz w:val="18"/>
                <w:szCs w:val="18"/>
              </w:rPr>
            </w:pPr>
            <w:r w:rsidRPr="7030D1C2">
              <w:rPr>
                <w:sz w:val="18"/>
                <w:szCs w:val="18"/>
              </w:rPr>
              <w:t>205</w:t>
            </w:r>
          </w:p>
        </w:tc>
      </w:tr>
      <w:tr w:rsidR="08928105" w14:paraId="7AE20B9C" w14:textId="77777777" w:rsidTr="08928105">
        <w:trPr>
          <w:jc w:val="center"/>
        </w:trPr>
        <w:tc>
          <w:tcPr>
            <w:tcW w:w="1350" w:type="dxa"/>
          </w:tcPr>
          <w:p w14:paraId="099E0E0B" w14:textId="3FD7DE32" w:rsidR="27FCD778" w:rsidRDefault="27FCD778" w:rsidP="08928105">
            <w:pPr>
              <w:spacing w:before="60" w:after="60"/>
              <w:rPr>
                <w:b/>
                <w:bCs/>
                <w:sz w:val="18"/>
                <w:szCs w:val="18"/>
              </w:rPr>
            </w:pPr>
            <w:r w:rsidRPr="08928105">
              <w:rPr>
                <w:b/>
                <w:bCs/>
                <w:sz w:val="18"/>
                <w:szCs w:val="18"/>
              </w:rPr>
              <w:t>Quartile 3</w:t>
            </w:r>
          </w:p>
        </w:tc>
        <w:tc>
          <w:tcPr>
            <w:tcW w:w="1275" w:type="dxa"/>
          </w:tcPr>
          <w:p w14:paraId="700ACA84" w14:textId="7E769499" w:rsidR="08928105" w:rsidRDefault="662D1B7A" w:rsidP="08928105">
            <w:pPr>
              <w:spacing w:before="60" w:after="60"/>
              <w:jc w:val="center"/>
              <w:rPr>
                <w:sz w:val="18"/>
                <w:szCs w:val="18"/>
              </w:rPr>
            </w:pPr>
            <w:r w:rsidRPr="7030D1C2">
              <w:rPr>
                <w:sz w:val="18"/>
                <w:szCs w:val="18"/>
              </w:rPr>
              <w:t>43</w:t>
            </w:r>
          </w:p>
        </w:tc>
        <w:tc>
          <w:tcPr>
            <w:tcW w:w="1260" w:type="dxa"/>
          </w:tcPr>
          <w:p w14:paraId="3CBE0A6C" w14:textId="48E021EA" w:rsidR="08928105" w:rsidRDefault="662D1B7A" w:rsidP="08928105">
            <w:pPr>
              <w:spacing w:before="60" w:after="60"/>
              <w:jc w:val="center"/>
              <w:rPr>
                <w:sz w:val="18"/>
                <w:szCs w:val="18"/>
              </w:rPr>
            </w:pPr>
            <w:r w:rsidRPr="7030D1C2">
              <w:rPr>
                <w:sz w:val="18"/>
                <w:szCs w:val="18"/>
              </w:rPr>
              <w:t>78</w:t>
            </w:r>
          </w:p>
        </w:tc>
        <w:tc>
          <w:tcPr>
            <w:tcW w:w="1095" w:type="dxa"/>
          </w:tcPr>
          <w:p w14:paraId="3B4ADA2F" w14:textId="762B77BC" w:rsidR="08928105" w:rsidRDefault="662D1B7A" w:rsidP="08928105">
            <w:pPr>
              <w:spacing w:before="60" w:after="60"/>
              <w:jc w:val="center"/>
              <w:rPr>
                <w:sz w:val="18"/>
                <w:szCs w:val="18"/>
              </w:rPr>
            </w:pPr>
            <w:r w:rsidRPr="7030D1C2">
              <w:rPr>
                <w:sz w:val="18"/>
                <w:szCs w:val="18"/>
              </w:rPr>
              <w:t>162</w:t>
            </w:r>
          </w:p>
        </w:tc>
        <w:tc>
          <w:tcPr>
            <w:tcW w:w="1410" w:type="dxa"/>
          </w:tcPr>
          <w:p w14:paraId="5C83DC02" w14:textId="0FB25DD9" w:rsidR="08928105" w:rsidRDefault="662D1B7A" w:rsidP="08928105">
            <w:pPr>
              <w:spacing w:before="60" w:after="60"/>
              <w:jc w:val="center"/>
              <w:rPr>
                <w:sz w:val="18"/>
                <w:szCs w:val="18"/>
              </w:rPr>
            </w:pPr>
            <w:r w:rsidRPr="7030D1C2">
              <w:rPr>
                <w:sz w:val="18"/>
                <w:szCs w:val="18"/>
              </w:rPr>
              <w:t>348</w:t>
            </w:r>
          </w:p>
        </w:tc>
        <w:tc>
          <w:tcPr>
            <w:tcW w:w="1290" w:type="dxa"/>
          </w:tcPr>
          <w:p w14:paraId="5EC60ACE" w14:textId="2878359C" w:rsidR="08928105" w:rsidRDefault="662D1B7A" w:rsidP="08928105">
            <w:pPr>
              <w:spacing w:before="60" w:after="60"/>
              <w:jc w:val="center"/>
              <w:rPr>
                <w:sz w:val="18"/>
                <w:szCs w:val="18"/>
              </w:rPr>
            </w:pPr>
            <w:r w:rsidRPr="7030D1C2">
              <w:rPr>
                <w:sz w:val="18"/>
                <w:szCs w:val="18"/>
              </w:rPr>
              <w:t>11,430</w:t>
            </w:r>
          </w:p>
        </w:tc>
        <w:tc>
          <w:tcPr>
            <w:tcW w:w="1346" w:type="dxa"/>
          </w:tcPr>
          <w:p w14:paraId="5C16041F" w14:textId="7CB02B3D" w:rsidR="08928105" w:rsidRDefault="662D1B7A" w:rsidP="08928105">
            <w:pPr>
              <w:spacing w:before="60" w:after="60"/>
              <w:jc w:val="center"/>
              <w:rPr>
                <w:sz w:val="18"/>
                <w:szCs w:val="18"/>
              </w:rPr>
            </w:pPr>
            <w:r w:rsidRPr="7030D1C2">
              <w:rPr>
                <w:sz w:val="18"/>
                <w:szCs w:val="18"/>
              </w:rPr>
              <w:t>2,627</w:t>
            </w:r>
          </w:p>
        </w:tc>
      </w:tr>
      <w:tr w:rsidR="08928105" w14:paraId="4C23061E" w14:textId="77777777" w:rsidTr="08928105">
        <w:trPr>
          <w:jc w:val="center"/>
        </w:trPr>
        <w:tc>
          <w:tcPr>
            <w:tcW w:w="1350" w:type="dxa"/>
          </w:tcPr>
          <w:p w14:paraId="4B67EC2C" w14:textId="552146A8" w:rsidR="27FCD778" w:rsidRDefault="27FCD778" w:rsidP="08928105">
            <w:pPr>
              <w:spacing w:before="60" w:after="60"/>
              <w:rPr>
                <w:b/>
                <w:bCs/>
                <w:sz w:val="18"/>
                <w:szCs w:val="18"/>
              </w:rPr>
            </w:pPr>
            <w:r w:rsidRPr="08928105">
              <w:rPr>
                <w:b/>
                <w:bCs/>
                <w:sz w:val="18"/>
                <w:szCs w:val="18"/>
              </w:rPr>
              <w:t>Maximum</w:t>
            </w:r>
          </w:p>
        </w:tc>
        <w:tc>
          <w:tcPr>
            <w:tcW w:w="1275" w:type="dxa"/>
          </w:tcPr>
          <w:p w14:paraId="014E8D59" w14:textId="5D638A86" w:rsidR="08928105" w:rsidRDefault="6197CA8C" w:rsidP="08928105">
            <w:pPr>
              <w:spacing w:before="60" w:after="60"/>
              <w:jc w:val="center"/>
              <w:rPr>
                <w:sz w:val="18"/>
                <w:szCs w:val="18"/>
              </w:rPr>
            </w:pPr>
            <w:r w:rsidRPr="7030D1C2">
              <w:rPr>
                <w:sz w:val="18"/>
                <w:szCs w:val="18"/>
              </w:rPr>
              <w:t>250</w:t>
            </w:r>
          </w:p>
        </w:tc>
        <w:tc>
          <w:tcPr>
            <w:tcW w:w="1260" w:type="dxa"/>
          </w:tcPr>
          <w:p w14:paraId="2B45682F" w14:textId="71FCF664" w:rsidR="08928105" w:rsidRDefault="6197CA8C" w:rsidP="08928105">
            <w:pPr>
              <w:spacing w:before="60" w:after="60"/>
              <w:jc w:val="center"/>
              <w:rPr>
                <w:sz w:val="18"/>
                <w:szCs w:val="18"/>
              </w:rPr>
            </w:pPr>
            <w:r w:rsidRPr="7030D1C2">
              <w:rPr>
                <w:sz w:val="18"/>
                <w:szCs w:val="18"/>
              </w:rPr>
              <w:t>625</w:t>
            </w:r>
          </w:p>
        </w:tc>
        <w:tc>
          <w:tcPr>
            <w:tcW w:w="1095" w:type="dxa"/>
          </w:tcPr>
          <w:p w14:paraId="62D38590" w14:textId="45ED9C3D" w:rsidR="08928105" w:rsidRDefault="6197CA8C" w:rsidP="08928105">
            <w:pPr>
              <w:spacing w:before="60" w:after="60"/>
              <w:jc w:val="center"/>
              <w:rPr>
                <w:sz w:val="18"/>
                <w:szCs w:val="18"/>
              </w:rPr>
            </w:pPr>
            <w:r w:rsidRPr="7030D1C2">
              <w:rPr>
                <w:sz w:val="18"/>
                <w:szCs w:val="18"/>
              </w:rPr>
              <w:t>972</w:t>
            </w:r>
          </w:p>
        </w:tc>
        <w:tc>
          <w:tcPr>
            <w:tcW w:w="1410" w:type="dxa"/>
          </w:tcPr>
          <w:p w14:paraId="0F9906AE" w14:textId="14F77431" w:rsidR="08928105" w:rsidRDefault="6197CA8C" w:rsidP="08928105">
            <w:pPr>
              <w:spacing w:before="60" w:after="60"/>
              <w:jc w:val="center"/>
              <w:rPr>
                <w:sz w:val="18"/>
                <w:szCs w:val="18"/>
              </w:rPr>
            </w:pPr>
            <w:r w:rsidRPr="7030D1C2">
              <w:rPr>
                <w:sz w:val="18"/>
                <w:szCs w:val="18"/>
              </w:rPr>
              <w:t>2,156</w:t>
            </w:r>
          </w:p>
        </w:tc>
        <w:tc>
          <w:tcPr>
            <w:tcW w:w="1290" w:type="dxa"/>
          </w:tcPr>
          <w:p w14:paraId="14ABA2FC" w14:textId="04FBC90A" w:rsidR="08928105" w:rsidRDefault="6197CA8C" w:rsidP="08928105">
            <w:pPr>
              <w:spacing w:before="60" w:after="60"/>
              <w:jc w:val="center"/>
              <w:rPr>
                <w:sz w:val="18"/>
                <w:szCs w:val="18"/>
              </w:rPr>
            </w:pPr>
            <w:r w:rsidRPr="7030D1C2">
              <w:rPr>
                <w:sz w:val="18"/>
                <w:szCs w:val="18"/>
              </w:rPr>
              <w:t>81,448</w:t>
            </w:r>
          </w:p>
        </w:tc>
        <w:tc>
          <w:tcPr>
            <w:tcW w:w="1346" w:type="dxa"/>
          </w:tcPr>
          <w:p w14:paraId="4424B17C" w14:textId="7B32D714" w:rsidR="08928105" w:rsidRDefault="6197CA8C" w:rsidP="08928105">
            <w:pPr>
              <w:spacing w:before="60" w:after="60"/>
              <w:jc w:val="center"/>
              <w:rPr>
                <w:sz w:val="18"/>
                <w:szCs w:val="18"/>
              </w:rPr>
            </w:pPr>
            <w:r w:rsidRPr="7030D1C2">
              <w:rPr>
                <w:sz w:val="18"/>
                <w:szCs w:val="18"/>
              </w:rPr>
              <w:t>38,689</w:t>
            </w:r>
          </w:p>
        </w:tc>
      </w:tr>
    </w:tbl>
    <w:p w14:paraId="4F3D26FB" w14:textId="4227C103" w:rsidR="08928105" w:rsidRDefault="08928105" w:rsidP="08928105"/>
    <w:p w14:paraId="6DCBDDF0" w14:textId="01A530AA" w:rsidR="003F69F3" w:rsidRDefault="003F69F3" w:rsidP="00A158CE">
      <w:pPr>
        <w:jc w:val="both"/>
      </w:pPr>
      <w:r>
        <w:t xml:space="preserve">Figure 2 </w:t>
      </w:r>
      <w:r w:rsidR="34F92231">
        <w:t xml:space="preserve">(overleaf) </w:t>
      </w:r>
      <w:r>
        <w:t xml:space="preserve">shows the number of new-starts reported in 2017/2018 by 108 institutions, ranked from the highest number of returns to the lowest number. This shows that a relatively small number of institutions were responsible for the majority of the returns with 10 institutions reporting between 100 and 250 new-starts each, 9 institutions returned between 50 and 100 new starts, and the remaining 86 institutions reported fewer than 50 new starts each. 3 of the 10 highest ranking institutions were specialist art, music, dance, or drama institutions. </w:t>
      </w:r>
    </w:p>
    <w:p w14:paraId="410E36A6" w14:textId="77777777" w:rsidR="003F69F3" w:rsidRDefault="003F69F3" w:rsidP="00A158CE">
      <w:pPr>
        <w:jc w:val="both"/>
      </w:pPr>
    </w:p>
    <w:p w14:paraId="59535EE3" w14:textId="77777777" w:rsidR="003F69F3" w:rsidRDefault="003F69F3" w:rsidP="00A158CE">
      <w:pPr>
        <w:jc w:val="both"/>
      </w:pPr>
      <w:r>
        <w:rPr>
          <w:noProof/>
        </w:rPr>
        <w:lastRenderedPageBreak/>
        <w:drawing>
          <wp:inline distT="0" distB="0" distL="0" distR="0" wp14:anchorId="7C52B355" wp14:editId="53BE53DD">
            <wp:extent cx="4989090" cy="3200400"/>
            <wp:effectExtent l="0" t="0" r="2540" b="0"/>
            <wp:docPr id="17945491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4989090" cy="3200400"/>
                    </a:xfrm>
                    <a:prstGeom prst="rect">
                      <a:avLst/>
                    </a:prstGeom>
                  </pic:spPr>
                </pic:pic>
              </a:graphicData>
            </a:graphic>
          </wp:inline>
        </w:drawing>
      </w:r>
    </w:p>
    <w:p w14:paraId="6E6C0979" w14:textId="77777777" w:rsidR="003F69F3" w:rsidRPr="00594C39" w:rsidRDefault="003F69F3" w:rsidP="00A158CE">
      <w:pPr>
        <w:jc w:val="both"/>
        <w:rPr>
          <w:sz w:val="12"/>
        </w:rPr>
      </w:pPr>
      <w:r>
        <w:t xml:space="preserve"> </w:t>
      </w:r>
    </w:p>
    <w:p w14:paraId="41B44D16" w14:textId="77777777" w:rsidR="003F69F3" w:rsidRDefault="003F69F3" w:rsidP="00A158CE">
      <w:pPr>
        <w:jc w:val="both"/>
        <w:rPr>
          <w:color w:val="1F4E79" w:themeColor="accent1" w:themeShade="80"/>
          <w:sz w:val="18"/>
        </w:rPr>
      </w:pPr>
      <w:r>
        <w:rPr>
          <w:color w:val="1F4E79" w:themeColor="accent1" w:themeShade="80"/>
          <w:sz w:val="18"/>
        </w:rPr>
        <w:t>Figure 2</w:t>
      </w:r>
      <w:r w:rsidRPr="00984DFE">
        <w:rPr>
          <w:color w:val="1F4E79" w:themeColor="accent1" w:themeShade="80"/>
          <w:sz w:val="18"/>
        </w:rPr>
        <w:t xml:space="preserve">: </w:t>
      </w:r>
      <w:r>
        <w:rPr>
          <w:color w:val="1F4E79" w:themeColor="accent1" w:themeShade="80"/>
          <w:sz w:val="18"/>
        </w:rPr>
        <w:t>N</w:t>
      </w:r>
      <w:r w:rsidRPr="003F69F3">
        <w:rPr>
          <w:color w:val="1F4E79" w:themeColor="accent1" w:themeShade="80"/>
          <w:sz w:val="18"/>
        </w:rPr>
        <w:t>umber of new-starts reported in 2017/2018 by 108 institutions, ranked from the highest number</w:t>
      </w:r>
      <w:r>
        <w:rPr>
          <w:color w:val="1F4E79" w:themeColor="accent1" w:themeShade="80"/>
          <w:sz w:val="18"/>
        </w:rPr>
        <w:t xml:space="preserve"> of returns to the lowest</w:t>
      </w:r>
    </w:p>
    <w:p w14:paraId="3CFE0EA6" w14:textId="77777777" w:rsidR="003F69F3" w:rsidRDefault="003F69F3" w:rsidP="00A158CE">
      <w:pPr>
        <w:jc w:val="both"/>
      </w:pPr>
    </w:p>
    <w:p w14:paraId="7984BEFB" w14:textId="77777777" w:rsidR="0037500A" w:rsidRDefault="003F69F3" w:rsidP="00A158CE">
      <w:pPr>
        <w:jc w:val="both"/>
      </w:pPr>
      <w:r>
        <w:t xml:space="preserve">Figure 3 presents the number of new starts reported for each institution </w:t>
      </w:r>
      <w:r w:rsidR="0037500A">
        <w:t xml:space="preserve">in 2017/2018 by the total number of students for that institution reported in the same year. </w:t>
      </w:r>
      <w:r w:rsidR="00E92D00">
        <w:t xml:space="preserve">The ratio is shown as a percentage and </w:t>
      </w:r>
      <w:r w:rsidR="0037500A">
        <w:t>is used</w:t>
      </w:r>
      <w:r w:rsidR="00E92D00">
        <w:t xml:space="preserve"> here</w:t>
      </w:r>
      <w:r w:rsidR="0037500A">
        <w:t xml:space="preserve"> as a proxy for the KEF matric relating to student entrepreneurship. </w:t>
      </w:r>
    </w:p>
    <w:p w14:paraId="749FAABA" w14:textId="77777777" w:rsidR="0037500A" w:rsidRDefault="0037500A" w:rsidP="00A158CE">
      <w:pPr>
        <w:jc w:val="both"/>
      </w:pPr>
    </w:p>
    <w:p w14:paraId="2C65920A" w14:textId="77777777" w:rsidR="003F69F3" w:rsidRDefault="00B133DD" w:rsidP="00A158CE">
      <w:pPr>
        <w:jc w:val="both"/>
      </w:pPr>
      <w:r>
        <w:rPr>
          <w:noProof/>
        </w:rPr>
        <w:drawing>
          <wp:inline distT="0" distB="0" distL="0" distR="0" wp14:anchorId="6FE1B93A" wp14:editId="33617293">
            <wp:extent cx="4972050" cy="3189471"/>
            <wp:effectExtent l="0" t="0" r="0" b="0"/>
            <wp:docPr id="21201978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4972050" cy="3189471"/>
                    </a:xfrm>
                    <a:prstGeom prst="rect">
                      <a:avLst/>
                    </a:prstGeom>
                  </pic:spPr>
                </pic:pic>
              </a:graphicData>
            </a:graphic>
          </wp:inline>
        </w:drawing>
      </w:r>
    </w:p>
    <w:p w14:paraId="4FA055D6" w14:textId="77777777" w:rsidR="00594C39" w:rsidRPr="00594C39" w:rsidRDefault="00594C39" w:rsidP="00A158CE">
      <w:pPr>
        <w:jc w:val="both"/>
        <w:rPr>
          <w:color w:val="1F4E79" w:themeColor="accent1" w:themeShade="80"/>
          <w:sz w:val="12"/>
        </w:rPr>
      </w:pPr>
    </w:p>
    <w:p w14:paraId="5509C22A" w14:textId="77777777" w:rsidR="00B133DD" w:rsidRDefault="00B133DD" w:rsidP="00A158CE">
      <w:pPr>
        <w:jc w:val="both"/>
        <w:rPr>
          <w:color w:val="1F4E79" w:themeColor="accent1" w:themeShade="80"/>
          <w:sz w:val="18"/>
        </w:rPr>
      </w:pPr>
      <w:r>
        <w:rPr>
          <w:color w:val="1F4E79" w:themeColor="accent1" w:themeShade="80"/>
          <w:sz w:val="18"/>
        </w:rPr>
        <w:t>Figure 3</w:t>
      </w:r>
      <w:r w:rsidRPr="00984DFE">
        <w:rPr>
          <w:color w:val="1F4E79" w:themeColor="accent1" w:themeShade="80"/>
          <w:sz w:val="18"/>
        </w:rPr>
        <w:t xml:space="preserve">: </w:t>
      </w:r>
      <w:r>
        <w:rPr>
          <w:color w:val="1F4E79" w:themeColor="accent1" w:themeShade="80"/>
          <w:sz w:val="18"/>
        </w:rPr>
        <w:t>Percentage n</w:t>
      </w:r>
      <w:r w:rsidRPr="003F69F3">
        <w:rPr>
          <w:color w:val="1F4E79" w:themeColor="accent1" w:themeShade="80"/>
          <w:sz w:val="18"/>
        </w:rPr>
        <w:t xml:space="preserve">umber of new-starts </w:t>
      </w:r>
      <w:r>
        <w:rPr>
          <w:color w:val="1F4E79" w:themeColor="accent1" w:themeShade="80"/>
          <w:sz w:val="18"/>
        </w:rPr>
        <w:t xml:space="preserve">by total FTE </w:t>
      </w:r>
      <w:r w:rsidRPr="003F69F3">
        <w:rPr>
          <w:color w:val="1F4E79" w:themeColor="accent1" w:themeShade="80"/>
          <w:sz w:val="18"/>
        </w:rPr>
        <w:t xml:space="preserve">reported </w:t>
      </w:r>
      <w:r>
        <w:rPr>
          <w:color w:val="1F4E79" w:themeColor="accent1" w:themeShade="80"/>
          <w:sz w:val="18"/>
        </w:rPr>
        <w:t>in 2017/2018 by 108 institution</w:t>
      </w:r>
      <w:r w:rsidRPr="003F69F3">
        <w:rPr>
          <w:color w:val="1F4E79" w:themeColor="accent1" w:themeShade="80"/>
          <w:sz w:val="18"/>
        </w:rPr>
        <w:t xml:space="preserve">, ranked from the highest </w:t>
      </w:r>
      <w:r>
        <w:rPr>
          <w:color w:val="1F4E79" w:themeColor="accent1" w:themeShade="80"/>
          <w:sz w:val="18"/>
        </w:rPr>
        <w:t xml:space="preserve">percentage of returns to the lowest. </w:t>
      </w:r>
    </w:p>
    <w:p w14:paraId="726AB3C6" w14:textId="77777777" w:rsidR="00B133DD" w:rsidRDefault="00B133DD" w:rsidP="00A158CE">
      <w:pPr>
        <w:jc w:val="both"/>
      </w:pPr>
    </w:p>
    <w:p w14:paraId="1B8F435D" w14:textId="706CD5C4" w:rsidR="00E92D00" w:rsidRDefault="00E92D00" w:rsidP="619EA3ED">
      <w:pPr>
        <w:jc w:val="both"/>
      </w:pPr>
      <w:r>
        <w:t>Figure 3 shows that the highest-ranking institution returned a number of new-starts to HE-BCI that equated to 12.7% of its total student FTE population in 2017/2018. Only 6 institutions (including the highest ranking) have a KEF proxy figure of over 2% of their total student FTE; 85 institutions report less than 0.5%. 6 of the 10 highest ranking institutions were specialist art, music, dance, or drama institutions with the KEF proxy used here compared with 3 using the raw HE-BCI new-start numbers.</w:t>
      </w:r>
      <w:r w:rsidR="6EF61029">
        <w:t xml:space="preserve"> </w:t>
      </w:r>
      <w:r w:rsidR="3CDFA881">
        <w:t>It is important to note t</w:t>
      </w:r>
      <w:r w:rsidR="1C222D24">
        <w:t>he high levels of graduate spin-outs related to</w:t>
      </w:r>
      <w:r w:rsidR="1F888599">
        <w:t xml:space="preserve"> the creative industries as the impact </w:t>
      </w:r>
      <w:r w:rsidR="1F888599">
        <w:lastRenderedPageBreak/>
        <w:t xml:space="preserve">on these subjects to the economy can be overlooked from graduate salary information collected by </w:t>
      </w:r>
      <w:r w:rsidR="693AFAF7">
        <w:t>through the Longitudinal Education Outcomes data which does not adequately reflect graduate income from self-employment and business owner</w:t>
      </w:r>
      <w:r w:rsidR="320D808D">
        <w:t>ship</w:t>
      </w:r>
      <w:r w:rsidR="1889EA18">
        <w:t>.</w:t>
      </w:r>
      <w:r w:rsidRPr="619EA3ED">
        <w:rPr>
          <w:rStyle w:val="FootnoteReference"/>
        </w:rPr>
        <w:footnoteReference w:id="14"/>
      </w:r>
      <w:r w:rsidR="391C0119" w:rsidRPr="08928105">
        <w:rPr>
          <w:vertAlign w:val="superscript"/>
        </w:rPr>
        <w:t xml:space="preserve">, </w:t>
      </w:r>
      <w:r w:rsidRPr="619EA3ED">
        <w:rPr>
          <w:rStyle w:val="FootnoteReference"/>
        </w:rPr>
        <w:footnoteReference w:id="15"/>
      </w:r>
    </w:p>
    <w:p w14:paraId="77921679" w14:textId="77777777" w:rsidR="00B133DD" w:rsidRDefault="00B133DD" w:rsidP="00A158CE">
      <w:pPr>
        <w:jc w:val="both"/>
      </w:pPr>
    </w:p>
    <w:p w14:paraId="3A7516CC" w14:textId="77777777" w:rsidR="00E92D00" w:rsidRPr="00594C39" w:rsidRDefault="00594C39" w:rsidP="00A158CE">
      <w:pPr>
        <w:pStyle w:val="Style3"/>
        <w:numPr>
          <w:ilvl w:val="1"/>
          <w:numId w:val="4"/>
        </w:numPr>
        <w:ind w:left="426" w:hanging="426"/>
        <w:jc w:val="both"/>
      </w:pPr>
      <w:bookmarkStart w:id="14" w:name="_Toc45203637"/>
      <w:r>
        <w:t>How this information has been used</w:t>
      </w:r>
      <w:bookmarkEnd w:id="14"/>
    </w:p>
    <w:p w14:paraId="38F85DD0" w14:textId="77777777" w:rsidR="00E92D00" w:rsidRDefault="00E92D00" w:rsidP="00A158CE">
      <w:pPr>
        <w:jc w:val="both"/>
      </w:pPr>
    </w:p>
    <w:p w14:paraId="2B33B5E7" w14:textId="77777777" w:rsidR="00594C39" w:rsidRDefault="00594C39" w:rsidP="00A158CE">
      <w:pPr>
        <w:jc w:val="both"/>
      </w:pPr>
      <w:r w:rsidRPr="00594C39">
        <w:t>The initial results have been used to inform question</w:t>
      </w:r>
      <w:r>
        <w:t>s</w:t>
      </w:r>
      <w:r w:rsidRPr="00594C39">
        <w:t xml:space="preserve"> in the Delphi study </w:t>
      </w:r>
      <w:r>
        <w:t>relating</w:t>
      </w:r>
      <w:r w:rsidRPr="00594C39">
        <w:t xml:space="preserve"> </w:t>
      </w:r>
      <w:r>
        <w:t xml:space="preserve">to </w:t>
      </w:r>
      <w:r w:rsidRPr="00594C39">
        <w:t xml:space="preserve">how the results of impact evaluation </w:t>
      </w:r>
      <w:r>
        <w:t>are</w:t>
      </w:r>
      <w:r w:rsidRPr="00594C39">
        <w:t xml:space="preserve"> currently used</w:t>
      </w:r>
      <w:r>
        <w:t xml:space="preserve"> and why measuring impact might be useful.</w:t>
      </w:r>
    </w:p>
    <w:p w14:paraId="79D62160" w14:textId="77777777" w:rsidR="00594C39" w:rsidRDefault="00594C39" w:rsidP="00A158CE">
      <w:pPr>
        <w:jc w:val="both"/>
      </w:pPr>
    </w:p>
    <w:p w14:paraId="26CB6480" w14:textId="77777777" w:rsidR="00594C39" w:rsidRDefault="00594C39" w:rsidP="00A158CE">
      <w:pPr>
        <w:pStyle w:val="Style3"/>
        <w:numPr>
          <w:ilvl w:val="1"/>
          <w:numId w:val="4"/>
        </w:numPr>
        <w:jc w:val="both"/>
      </w:pPr>
      <w:bookmarkStart w:id="15" w:name="_Toc45203638"/>
      <w:r>
        <w:t>Next steps</w:t>
      </w:r>
      <w:bookmarkEnd w:id="15"/>
    </w:p>
    <w:p w14:paraId="63DB4975" w14:textId="77777777" w:rsidR="00594C39" w:rsidRDefault="00594C39" w:rsidP="00A158CE">
      <w:pPr>
        <w:jc w:val="both"/>
      </w:pPr>
    </w:p>
    <w:p w14:paraId="6E9DE7DD" w14:textId="2B18B3B9" w:rsidR="00594C39" w:rsidRDefault="00594C39" w:rsidP="00A158CE">
      <w:pPr>
        <w:pStyle w:val="ListParagraph"/>
        <w:numPr>
          <w:ilvl w:val="0"/>
          <w:numId w:val="20"/>
        </w:numPr>
        <w:jc w:val="both"/>
      </w:pPr>
      <w:r>
        <w:t>The analysis above was carried out before the HE-BCI data for 2018/2019 were released</w:t>
      </w:r>
      <w:r w:rsidR="00203BBF">
        <w:t>;</w:t>
      </w:r>
    </w:p>
    <w:p w14:paraId="3AD50BBC" w14:textId="6DB3866A" w:rsidR="00594C39" w:rsidRDefault="00510B54" w:rsidP="00A158CE">
      <w:pPr>
        <w:pStyle w:val="ListParagraph"/>
        <w:numPr>
          <w:ilvl w:val="0"/>
          <w:numId w:val="20"/>
        </w:numPr>
        <w:jc w:val="both"/>
      </w:pPr>
      <w:r>
        <w:t>2018/2019 data will be included in subsequent analysis</w:t>
      </w:r>
      <w:r w:rsidR="00203BBF">
        <w:t>;</w:t>
      </w:r>
    </w:p>
    <w:p w14:paraId="1A300E48" w14:textId="7941E8B3" w:rsidR="00594C39" w:rsidRDefault="00594C39" w:rsidP="00A158CE">
      <w:pPr>
        <w:pStyle w:val="ListParagraph"/>
        <w:numPr>
          <w:ilvl w:val="0"/>
          <w:numId w:val="20"/>
        </w:numPr>
        <w:jc w:val="both"/>
      </w:pPr>
      <w:r>
        <w:t>The results of the analys</w:t>
      </w:r>
      <w:r w:rsidR="00510B54">
        <w:t>e</w:t>
      </w:r>
      <w:r>
        <w:t>s will be used for journal article submission(s) that emerge from the study</w:t>
      </w:r>
      <w:r w:rsidR="00203BBF">
        <w:t>; and</w:t>
      </w:r>
    </w:p>
    <w:p w14:paraId="6AFEE303" w14:textId="305667E6" w:rsidR="00E92D00" w:rsidRDefault="00510B54" w:rsidP="00A158CE">
      <w:pPr>
        <w:pStyle w:val="ListParagraph"/>
        <w:numPr>
          <w:ilvl w:val="0"/>
          <w:numId w:val="20"/>
        </w:numPr>
        <w:jc w:val="both"/>
      </w:pPr>
      <w:r>
        <w:t>The analysis reported here could potentially be used by EEUK in discussions with HESA and others in relation to reviews of HE-BCI and the KEF</w:t>
      </w:r>
      <w:r w:rsidR="00203BBF">
        <w:t>.</w:t>
      </w:r>
      <w:r>
        <w:t xml:space="preserve"> </w:t>
      </w:r>
    </w:p>
    <w:p w14:paraId="7DDCB605" w14:textId="77777777" w:rsidR="00F36324" w:rsidRPr="004F640B" w:rsidRDefault="00F36324" w:rsidP="008547BD"/>
    <w:p w14:paraId="1B670FE5" w14:textId="77777777" w:rsidR="008547BD" w:rsidRDefault="008547BD" w:rsidP="008547BD"/>
    <w:p w14:paraId="430F92EE" w14:textId="77777777" w:rsidR="008547BD" w:rsidRDefault="008547BD" w:rsidP="008547BD"/>
    <w:p w14:paraId="6AAF9799" w14:textId="77777777" w:rsidR="008547BD" w:rsidRDefault="008547BD" w:rsidP="008547BD"/>
    <w:p w14:paraId="5B73DC0D" w14:textId="77777777" w:rsidR="008547BD" w:rsidRDefault="008547BD" w:rsidP="008547BD"/>
    <w:p w14:paraId="21AC0A42" w14:textId="77777777" w:rsidR="008547BD" w:rsidRDefault="008547BD" w:rsidP="008547BD"/>
    <w:p w14:paraId="364FA785" w14:textId="77777777" w:rsidR="008547BD" w:rsidRDefault="008547BD" w:rsidP="008547BD"/>
    <w:p w14:paraId="5F021CE4" w14:textId="77777777" w:rsidR="008547BD" w:rsidRDefault="008547BD" w:rsidP="008547BD"/>
    <w:p w14:paraId="0542F277" w14:textId="77777777" w:rsidR="008547BD" w:rsidRDefault="008547BD" w:rsidP="008547BD"/>
    <w:p w14:paraId="17C67128" w14:textId="77777777" w:rsidR="008547BD" w:rsidRDefault="008547BD" w:rsidP="008547BD"/>
    <w:p w14:paraId="32B8FED0" w14:textId="77777777" w:rsidR="008547BD" w:rsidRDefault="008547BD" w:rsidP="008547BD"/>
    <w:p w14:paraId="6AB1CAB1" w14:textId="77777777" w:rsidR="008547BD" w:rsidRDefault="008547BD" w:rsidP="008547BD"/>
    <w:p w14:paraId="12EE7BFD" w14:textId="77777777" w:rsidR="008547BD" w:rsidRDefault="008547BD" w:rsidP="008547BD"/>
    <w:p w14:paraId="33C5F908" w14:textId="77777777" w:rsidR="008547BD" w:rsidRDefault="008547BD" w:rsidP="008547BD"/>
    <w:p w14:paraId="1C59C22A" w14:textId="77777777" w:rsidR="008547BD" w:rsidRDefault="008547BD" w:rsidP="008547BD"/>
    <w:p w14:paraId="0811CEFD" w14:textId="77777777" w:rsidR="008547BD" w:rsidRDefault="008547BD" w:rsidP="008547BD"/>
    <w:p w14:paraId="2DF16239" w14:textId="77777777" w:rsidR="008547BD" w:rsidRDefault="008547BD" w:rsidP="008547BD"/>
    <w:p w14:paraId="02C1E801" w14:textId="77777777" w:rsidR="008547BD" w:rsidRDefault="008547BD" w:rsidP="008547BD"/>
    <w:p w14:paraId="408C92AE" w14:textId="77777777" w:rsidR="008547BD" w:rsidRDefault="008547BD" w:rsidP="008547BD"/>
    <w:p w14:paraId="207E8272" w14:textId="77777777" w:rsidR="008547BD" w:rsidRDefault="008547BD" w:rsidP="008547BD"/>
    <w:p w14:paraId="48942FC6" w14:textId="77777777" w:rsidR="008547BD" w:rsidRDefault="008547BD" w:rsidP="008547BD"/>
    <w:p w14:paraId="3FB6B499" w14:textId="77777777" w:rsidR="008547BD" w:rsidRDefault="008547BD" w:rsidP="008547BD"/>
    <w:p w14:paraId="7B2EA937" w14:textId="77777777" w:rsidR="008547BD" w:rsidRDefault="008547BD" w:rsidP="008547BD"/>
    <w:p w14:paraId="58CEE62F" w14:textId="77777777" w:rsidR="008547BD" w:rsidRDefault="008547BD" w:rsidP="008547BD"/>
    <w:p w14:paraId="7BF2109D" w14:textId="77777777" w:rsidR="008547BD" w:rsidRDefault="008547BD" w:rsidP="008547BD"/>
    <w:p w14:paraId="58694652" w14:textId="77777777" w:rsidR="008547BD" w:rsidRDefault="008547BD" w:rsidP="008547BD"/>
    <w:p w14:paraId="0C3EBA1F" w14:textId="77777777" w:rsidR="008547BD" w:rsidRDefault="008547BD" w:rsidP="008547BD"/>
    <w:p w14:paraId="34F013A7" w14:textId="77777777" w:rsidR="008547BD" w:rsidRDefault="008547BD" w:rsidP="008547BD"/>
    <w:p w14:paraId="12F63469" w14:textId="77777777" w:rsidR="008547BD" w:rsidRDefault="008547BD" w:rsidP="008547BD"/>
    <w:p w14:paraId="54590B0F" w14:textId="77777777" w:rsidR="008547BD" w:rsidRDefault="008547BD" w:rsidP="008547BD"/>
    <w:p w14:paraId="57D171E2" w14:textId="77777777" w:rsidR="008547BD" w:rsidRDefault="008547BD" w:rsidP="008547BD"/>
    <w:p w14:paraId="4F6589E0" w14:textId="77777777" w:rsidR="008547BD" w:rsidRDefault="008547BD" w:rsidP="008547BD"/>
    <w:p w14:paraId="624FC40C" w14:textId="77777777" w:rsidR="008547BD" w:rsidRDefault="008547BD" w:rsidP="008547BD"/>
    <w:p w14:paraId="700E7DC7" w14:textId="77777777" w:rsidR="008547BD" w:rsidRDefault="008547BD" w:rsidP="008547BD"/>
    <w:p w14:paraId="4419192E" w14:textId="77777777" w:rsidR="008547BD" w:rsidRDefault="008547BD" w:rsidP="008547BD"/>
    <w:p w14:paraId="212A067D" w14:textId="77777777" w:rsidR="008547BD" w:rsidRDefault="008547BD" w:rsidP="008547BD"/>
    <w:p w14:paraId="5B412693" w14:textId="77777777" w:rsidR="008547BD" w:rsidRDefault="008547BD" w:rsidP="008547BD"/>
    <w:p w14:paraId="4F57E605" w14:textId="77777777" w:rsidR="000A7044" w:rsidRDefault="000A7044" w:rsidP="00A158CE">
      <w:pPr>
        <w:pStyle w:val="Style2"/>
        <w:jc w:val="both"/>
      </w:pPr>
      <w:bookmarkStart w:id="16" w:name="_Toc45203639"/>
      <w:r>
        <w:lastRenderedPageBreak/>
        <w:t>Graduate Outcomes</w:t>
      </w:r>
      <w:bookmarkEnd w:id="16"/>
    </w:p>
    <w:p w14:paraId="7A203870" w14:textId="77777777" w:rsidR="000A7044" w:rsidRDefault="000A7044" w:rsidP="00A158CE">
      <w:pPr>
        <w:jc w:val="both"/>
      </w:pPr>
    </w:p>
    <w:p w14:paraId="41220CBC" w14:textId="63F393C8" w:rsidR="00C0678C" w:rsidRDefault="00C0678C" w:rsidP="00A158CE">
      <w:pPr>
        <w:jc w:val="both"/>
      </w:pPr>
      <w:r>
        <w:t>Early results of the national Graduate Outcomes survey were released in June</w:t>
      </w:r>
      <w:r w:rsidRPr="5FD6203F">
        <w:rPr>
          <w:rStyle w:val="FootnoteReference"/>
        </w:rPr>
        <w:footnoteReference w:id="16"/>
      </w:r>
      <w:r>
        <w:t xml:space="preserve">. Communications with HESA suggest that there are plans to release further data specific to self-employment and business start-up activity 18 months after graduation. We will monitor for further data releases and look to explore this when available. </w:t>
      </w:r>
    </w:p>
    <w:p w14:paraId="524F5F70" w14:textId="3AB4B9FA" w:rsidR="000A7044" w:rsidRDefault="000A7044" w:rsidP="00A158CE">
      <w:pPr>
        <w:jc w:val="both"/>
      </w:pPr>
    </w:p>
    <w:sectPr w:rsidR="000A7044" w:rsidSect="004D3214">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24D75" w14:textId="77777777" w:rsidR="00594C39" w:rsidRDefault="00594C39" w:rsidP="003C0020">
      <w:r>
        <w:separator/>
      </w:r>
    </w:p>
  </w:endnote>
  <w:endnote w:type="continuationSeparator" w:id="0">
    <w:p w14:paraId="6906859B" w14:textId="77777777" w:rsidR="00594C39" w:rsidRDefault="00594C39" w:rsidP="003C0020">
      <w:r>
        <w:continuationSeparator/>
      </w:r>
    </w:p>
  </w:endnote>
  <w:endnote w:type="continuationNotice" w:id="1">
    <w:p w14:paraId="56B3EF1A" w14:textId="77777777" w:rsidR="008B5E84" w:rsidRDefault="008B5E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38411"/>
      <w:docPartObj>
        <w:docPartGallery w:val="Page Numbers (Bottom of Page)"/>
        <w:docPartUnique/>
      </w:docPartObj>
    </w:sdtPr>
    <w:sdtEndPr>
      <w:rPr>
        <w:noProof/>
      </w:rPr>
    </w:sdtEndPr>
    <w:sdtContent>
      <w:p w14:paraId="16A0C871" w14:textId="0CD597B3" w:rsidR="002C5CD9" w:rsidRDefault="002C5C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0C09A7" w14:textId="4791850C" w:rsidR="5FD6203F" w:rsidRDefault="5FD6203F" w:rsidP="5FD62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5893B" w14:textId="77777777" w:rsidR="00594C39" w:rsidRDefault="00594C39" w:rsidP="003C0020">
      <w:r>
        <w:separator/>
      </w:r>
    </w:p>
  </w:footnote>
  <w:footnote w:type="continuationSeparator" w:id="0">
    <w:p w14:paraId="4AD01649" w14:textId="77777777" w:rsidR="00594C39" w:rsidRDefault="00594C39" w:rsidP="003C0020">
      <w:r>
        <w:continuationSeparator/>
      </w:r>
    </w:p>
  </w:footnote>
  <w:footnote w:type="continuationNotice" w:id="1">
    <w:p w14:paraId="4023FC92" w14:textId="77777777" w:rsidR="008B5E84" w:rsidRDefault="008B5E84"/>
  </w:footnote>
  <w:footnote w:id="2">
    <w:p w14:paraId="286E7F9B" w14:textId="2ACC8D62" w:rsidR="619EA3ED" w:rsidRPr="00B44F7E" w:rsidRDefault="619EA3ED" w:rsidP="619EA3ED">
      <w:pPr>
        <w:pStyle w:val="FootnoteText"/>
        <w:rPr>
          <w:sz w:val="16"/>
          <w:szCs w:val="16"/>
        </w:rPr>
      </w:pPr>
      <w:r w:rsidRPr="619EA3ED">
        <w:rPr>
          <w:rStyle w:val="FootnoteReference"/>
        </w:rPr>
        <w:footnoteRef/>
      </w:r>
      <w:r>
        <w:t xml:space="preserve"> </w:t>
      </w:r>
      <w:r w:rsidRPr="00B44F7E">
        <w:rPr>
          <w:sz w:val="16"/>
          <w:szCs w:val="16"/>
        </w:rPr>
        <w:t xml:space="preserve">Nabi, G., Liñan, F., Fayolle, A., Krueger, N., and Whalmsley, A. (2017), ‘The Impact of Entrepreneurship Education in Higher Education: A Systematic Review and Research Agenda’,  </w:t>
      </w:r>
      <w:r w:rsidRPr="00B44F7E">
        <w:rPr>
          <w:i/>
          <w:iCs/>
          <w:sz w:val="16"/>
          <w:szCs w:val="16"/>
        </w:rPr>
        <w:t>Academy of Management Learning &amp; Education</w:t>
      </w:r>
      <w:r w:rsidRPr="00B44F7E">
        <w:rPr>
          <w:sz w:val="16"/>
          <w:szCs w:val="16"/>
        </w:rPr>
        <w:t xml:space="preserve">, </w:t>
      </w:r>
      <w:r w:rsidRPr="00B44F7E">
        <w:rPr>
          <w:b/>
          <w:bCs/>
          <w:sz w:val="16"/>
          <w:szCs w:val="16"/>
        </w:rPr>
        <w:t xml:space="preserve">16 </w:t>
      </w:r>
      <w:r w:rsidRPr="00B44F7E">
        <w:rPr>
          <w:sz w:val="16"/>
          <w:szCs w:val="16"/>
        </w:rPr>
        <w:t>(2), 277–299.</w:t>
      </w:r>
    </w:p>
  </w:footnote>
  <w:footnote w:id="3">
    <w:p w14:paraId="6A98C4DE" w14:textId="57BD915C" w:rsidR="08928105" w:rsidRPr="00933E14" w:rsidRDefault="08928105" w:rsidP="08928105">
      <w:pPr>
        <w:pStyle w:val="FootnoteText"/>
        <w:rPr>
          <w:sz w:val="16"/>
          <w:szCs w:val="16"/>
        </w:rPr>
      </w:pPr>
      <w:r w:rsidRPr="08928105">
        <w:rPr>
          <w:rStyle w:val="FootnoteReference"/>
        </w:rPr>
        <w:footnoteRef/>
      </w:r>
      <w:r>
        <w:t xml:space="preserve"> </w:t>
      </w:r>
      <w:r w:rsidRPr="00933E14">
        <w:rPr>
          <w:sz w:val="16"/>
          <w:szCs w:val="16"/>
        </w:rPr>
        <w:t>https://www.qs.com/what-do-prospective-students-think-about-the-teaching-excellence-framework/</w:t>
      </w:r>
    </w:p>
  </w:footnote>
  <w:footnote w:id="4">
    <w:p w14:paraId="4A6E5894" w14:textId="77777777" w:rsidR="00594C39" w:rsidRDefault="00594C39">
      <w:pPr>
        <w:pStyle w:val="FootnoteText"/>
      </w:pPr>
      <w:r>
        <w:rPr>
          <w:rStyle w:val="FootnoteReference"/>
        </w:rPr>
        <w:footnoteRef/>
      </w:r>
      <w:r>
        <w:t xml:space="preserve"> </w:t>
      </w:r>
      <w:r w:rsidRPr="00B44F7E">
        <w:rPr>
          <w:sz w:val="16"/>
          <w:szCs w:val="16"/>
        </w:rPr>
        <w:t>https://www.officeforstudents.org.uk/advice-and-guidance/teaching/tef-outcomes/#/tefoutcomes/</w:t>
      </w:r>
    </w:p>
  </w:footnote>
  <w:footnote w:id="5">
    <w:p w14:paraId="064907DA" w14:textId="77777777" w:rsidR="00594C39" w:rsidRPr="00B44F7E" w:rsidRDefault="00594C39">
      <w:pPr>
        <w:pStyle w:val="FootnoteText"/>
        <w:rPr>
          <w:sz w:val="16"/>
          <w:szCs w:val="16"/>
        </w:rPr>
      </w:pPr>
      <w:r>
        <w:rPr>
          <w:rStyle w:val="FootnoteReference"/>
        </w:rPr>
        <w:footnoteRef/>
      </w:r>
      <w:r>
        <w:t xml:space="preserve"> </w:t>
      </w:r>
      <w:r w:rsidRPr="00B44F7E">
        <w:rPr>
          <w:sz w:val="16"/>
          <w:szCs w:val="16"/>
        </w:rPr>
        <w:t>https://www.ref.ac.uk/about/what-is-the-ref/</w:t>
      </w:r>
    </w:p>
  </w:footnote>
  <w:footnote w:id="6">
    <w:p w14:paraId="3ABEE0C1" w14:textId="77777777" w:rsidR="00594C39" w:rsidRPr="00B44F7E" w:rsidRDefault="00594C39">
      <w:pPr>
        <w:pStyle w:val="FootnoteText"/>
        <w:rPr>
          <w:sz w:val="16"/>
          <w:szCs w:val="16"/>
        </w:rPr>
      </w:pPr>
      <w:r>
        <w:rPr>
          <w:rStyle w:val="FootnoteReference"/>
        </w:rPr>
        <w:footnoteRef/>
      </w:r>
      <w:r>
        <w:t xml:space="preserve"> </w:t>
      </w:r>
      <w:r w:rsidRPr="00B44F7E">
        <w:rPr>
          <w:sz w:val="16"/>
          <w:szCs w:val="16"/>
        </w:rPr>
        <w:t>https://www.ref.ac.uk/about/guide-for-research-users/</w:t>
      </w:r>
    </w:p>
  </w:footnote>
  <w:footnote w:id="7">
    <w:p w14:paraId="47C12C8C" w14:textId="77777777" w:rsidR="00594C39" w:rsidRPr="00B44F7E" w:rsidRDefault="00594C39" w:rsidP="002436B8">
      <w:pPr>
        <w:pStyle w:val="FootnoteText"/>
        <w:ind w:right="-330"/>
        <w:rPr>
          <w:sz w:val="16"/>
          <w:szCs w:val="16"/>
        </w:rPr>
      </w:pPr>
      <w:r>
        <w:rPr>
          <w:rStyle w:val="FootnoteReference"/>
        </w:rPr>
        <w:footnoteRef/>
      </w:r>
      <w:r>
        <w:t xml:space="preserve"> </w:t>
      </w:r>
      <w:r w:rsidRPr="00B44F7E">
        <w:rPr>
          <w:sz w:val="16"/>
          <w:szCs w:val="16"/>
        </w:rPr>
        <w:t>https://www.ref.ac.uk/2014/media/ref/content/pub/REF%2001%202014%20-%20full%20document.pdf</w:t>
      </w:r>
    </w:p>
  </w:footnote>
  <w:footnote w:id="8">
    <w:p w14:paraId="58D6C7EE" w14:textId="77777777" w:rsidR="00594C39" w:rsidRDefault="00594C39">
      <w:pPr>
        <w:pStyle w:val="FootnoteText"/>
      </w:pPr>
      <w:r>
        <w:rPr>
          <w:rStyle w:val="FootnoteReference"/>
        </w:rPr>
        <w:footnoteRef/>
      </w:r>
      <w:r>
        <w:t xml:space="preserve"> </w:t>
      </w:r>
      <w:r w:rsidRPr="00B44F7E">
        <w:rPr>
          <w:sz w:val="16"/>
          <w:szCs w:val="16"/>
        </w:rPr>
        <w:t>https://www.ref.ac.uk/media/1092/ref-2019_01-guidance-on-submissions.pdf</w:t>
      </w:r>
    </w:p>
  </w:footnote>
  <w:footnote w:id="9">
    <w:p w14:paraId="42C0E3D5" w14:textId="77777777" w:rsidR="00594C39" w:rsidRPr="00B44F7E" w:rsidRDefault="00594C39">
      <w:pPr>
        <w:pStyle w:val="FootnoteText"/>
        <w:rPr>
          <w:sz w:val="16"/>
          <w:szCs w:val="16"/>
        </w:rPr>
      </w:pPr>
      <w:r>
        <w:rPr>
          <w:rStyle w:val="FootnoteReference"/>
        </w:rPr>
        <w:footnoteRef/>
      </w:r>
      <w:r>
        <w:t xml:space="preserve"> </w:t>
      </w:r>
      <w:r w:rsidRPr="00B44F7E">
        <w:rPr>
          <w:sz w:val="16"/>
          <w:szCs w:val="16"/>
        </w:rPr>
        <w:t>https://www.ref.ac.uk/2014/panels/assessmentcriteriaandleveldefinitions/</w:t>
      </w:r>
    </w:p>
  </w:footnote>
  <w:footnote w:id="10">
    <w:p w14:paraId="7CF12B35" w14:textId="77777777" w:rsidR="00594C39" w:rsidRDefault="00594C39">
      <w:pPr>
        <w:pStyle w:val="FootnoteText"/>
      </w:pPr>
      <w:r>
        <w:rPr>
          <w:rStyle w:val="FootnoteReference"/>
        </w:rPr>
        <w:footnoteRef/>
      </w:r>
      <w:r>
        <w:t xml:space="preserve"> </w:t>
      </w:r>
      <w:r w:rsidRPr="00B44F7E">
        <w:rPr>
          <w:sz w:val="16"/>
          <w:szCs w:val="16"/>
        </w:rPr>
        <w:t>https://results.ref.ac.uk/(S(d5zybn1idwqziwkvrx304xtg))/Search</w:t>
      </w:r>
    </w:p>
  </w:footnote>
  <w:footnote w:id="11">
    <w:p w14:paraId="4B137F5F" w14:textId="77777777" w:rsidR="00594C39" w:rsidRDefault="00594C39">
      <w:pPr>
        <w:pStyle w:val="FootnoteText"/>
      </w:pPr>
      <w:r>
        <w:rPr>
          <w:rStyle w:val="FootnoteReference"/>
        </w:rPr>
        <w:footnoteRef/>
      </w:r>
      <w:r>
        <w:t xml:space="preserve"> </w:t>
      </w:r>
      <w:r w:rsidRPr="00B44F7E">
        <w:rPr>
          <w:sz w:val="16"/>
          <w:szCs w:val="16"/>
        </w:rPr>
        <w:t>https://re.ukri.org/documents/2019/knowledge-exchange-framework-decisions-16-jan-2020/</w:t>
      </w:r>
    </w:p>
  </w:footnote>
  <w:footnote w:id="12">
    <w:p w14:paraId="460A47BD" w14:textId="3E034BB1" w:rsidR="00594C39" w:rsidRDefault="00594C39">
      <w:pPr>
        <w:pStyle w:val="FootnoteText"/>
      </w:pPr>
      <w:r>
        <w:rPr>
          <w:rStyle w:val="FootnoteReference"/>
        </w:rPr>
        <w:footnoteRef/>
      </w:r>
      <w:r w:rsidR="00B44F7E">
        <w:t xml:space="preserve"> </w:t>
      </w:r>
      <w:r w:rsidRPr="00B44F7E">
        <w:rPr>
          <w:sz w:val="16"/>
          <w:szCs w:val="16"/>
        </w:rPr>
        <w:t>https://www.hesa.ac.uk/data-and-analysis/business-community/ip-and-startups</w:t>
      </w:r>
    </w:p>
  </w:footnote>
  <w:footnote w:id="13">
    <w:p w14:paraId="136EEA8A" w14:textId="77777777" w:rsidR="00594C39" w:rsidRDefault="00594C39">
      <w:pPr>
        <w:pStyle w:val="FootnoteText"/>
      </w:pPr>
      <w:r>
        <w:rPr>
          <w:rStyle w:val="FootnoteReference"/>
        </w:rPr>
        <w:footnoteRef/>
      </w:r>
      <w:r>
        <w:t xml:space="preserve"> </w:t>
      </w:r>
      <w:r w:rsidRPr="00B44F7E">
        <w:rPr>
          <w:sz w:val="16"/>
          <w:szCs w:val="16"/>
        </w:rPr>
        <w:t>https://www.hesa.ac.uk/data-and-analysis/students/table-2</w:t>
      </w:r>
    </w:p>
  </w:footnote>
  <w:footnote w:id="14">
    <w:p w14:paraId="6FF4C05F" w14:textId="2EF58D60" w:rsidR="00866853" w:rsidRDefault="619EA3ED" w:rsidP="619EA3ED">
      <w:pPr>
        <w:pStyle w:val="FootnoteText"/>
        <w:rPr>
          <w:sz w:val="16"/>
          <w:szCs w:val="16"/>
        </w:rPr>
      </w:pPr>
      <w:r w:rsidRPr="619EA3ED">
        <w:rPr>
          <w:rStyle w:val="FootnoteReference"/>
        </w:rPr>
        <w:footnoteRef/>
      </w:r>
      <w:r w:rsidR="00866853">
        <w:rPr>
          <w:sz w:val="16"/>
          <w:szCs w:val="16"/>
        </w:rPr>
        <w:t xml:space="preserve"> </w:t>
      </w:r>
      <w:r w:rsidR="00866853" w:rsidRPr="00866853">
        <w:rPr>
          <w:sz w:val="16"/>
          <w:szCs w:val="16"/>
        </w:rPr>
        <w:t>https://assets.publishing.service.gov.uk/government/uploads/system/uploads/attachment_data/file/669747/SFR76_2017_Sel</w:t>
      </w:r>
    </w:p>
    <w:p w14:paraId="59A460B0" w14:textId="7A100729" w:rsidR="619EA3ED" w:rsidRPr="00866853" w:rsidRDefault="00866853" w:rsidP="619EA3ED">
      <w:pPr>
        <w:pStyle w:val="FootnoteText"/>
        <w:rPr>
          <w:sz w:val="16"/>
          <w:szCs w:val="16"/>
        </w:rPr>
      </w:pPr>
      <w:r w:rsidRPr="00866853">
        <w:rPr>
          <w:sz w:val="16"/>
          <w:szCs w:val="16"/>
        </w:rPr>
        <w:t>fEmployment_earnings.pdf</w:t>
      </w:r>
    </w:p>
  </w:footnote>
  <w:footnote w:id="15">
    <w:p w14:paraId="1B645DDF" w14:textId="367FE62E" w:rsidR="619EA3ED" w:rsidRDefault="619EA3ED" w:rsidP="619EA3ED">
      <w:pPr>
        <w:pStyle w:val="FootnoteText"/>
      </w:pPr>
      <w:r w:rsidRPr="00B44F7E">
        <w:rPr>
          <w:rStyle w:val="FootnoteReference"/>
        </w:rPr>
        <w:footnoteRef/>
      </w:r>
      <w:r w:rsidR="00866853">
        <w:t xml:space="preserve"> </w:t>
      </w:r>
      <w:r w:rsidRPr="00B44F7E">
        <w:rPr>
          <w:sz w:val="16"/>
          <w:szCs w:val="16"/>
        </w:rPr>
        <w:t>https://www.universitiesuk.ac.uk/our-work-in-parliament/Documents/Universities%20UK%20parliamentary%20briefing%20-%20uses%20and%20limits%20of%20LEO%20data.pdf</w:t>
      </w:r>
    </w:p>
  </w:footnote>
  <w:footnote w:id="16">
    <w:p w14:paraId="273A81DD" w14:textId="0A34E08C" w:rsidR="5FD6203F" w:rsidRDefault="5FD6203F" w:rsidP="5FD6203F">
      <w:pPr>
        <w:pStyle w:val="FootnoteText"/>
      </w:pPr>
      <w:r w:rsidRPr="5FD6203F">
        <w:rPr>
          <w:rStyle w:val="FootnoteReference"/>
        </w:rPr>
        <w:footnoteRef/>
      </w:r>
      <w:r>
        <w:t xml:space="preserve"> </w:t>
      </w:r>
      <w:r w:rsidR="00866853" w:rsidRPr="00F36324">
        <w:rPr>
          <w:sz w:val="16"/>
          <w:szCs w:val="16"/>
        </w:rPr>
        <w:t>https://www.hesa.ac.uk/data-and-analysis/graduates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5FD6203F" w14:paraId="38D2EE20" w14:textId="77777777" w:rsidTr="5FD6203F">
      <w:tc>
        <w:tcPr>
          <w:tcW w:w="3009" w:type="dxa"/>
        </w:tcPr>
        <w:p w14:paraId="36500A3F" w14:textId="7360ECFB" w:rsidR="5FD6203F" w:rsidRDefault="5FD6203F" w:rsidP="5FD6203F">
          <w:pPr>
            <w:pStyle w:val="Header"/>
            <w:ind w:left="-115"/>
          </w:pPr>
        </w:p>
      </w:tc>
      <w:tc>
        <w:tcPr>
          <w:tcW w:w="3009" w:type="dxa"/>
        </w:tcPr>
        <w:p w14:paraId="4D8C2D59" w14:textId="031262B8" w:rsidR="5FD6203F" w:rsidRDefault="5FD6203F" w:rsidP="5FD6203F">
          <w:pPr>
            <w:pStyle w:val="Header"/>
            <w:jc w:val="center"/>
          </w:pPr>
        </w:p>
      </w:tc>
      <w:tc>
        <w:tcPr>
          <w:tcW w:w="3009" w:type="dxa"/>
        </w:tcPr>
        <w:p w14:paraId="66806B49" w14:textId="6403CB87" w:rsidR="5FD6203F" w:rsidRDefault="5FD6203F" w:rsidP="5FD6203F">
          <w:pPr>
            <w:pStyle w:val="Header"/>
            <w:ind w:right="-115"/>
            <w:jc w:val="right"/>
          </w:pPr>
        </w:p>
      </w:tc>
    </w:tr>
  </w:tbl>
  <w:p w14:paraId="2722B527" w14:textId="42B79C6B" w:rsidR="5FD6203F" w:rsidRDefault="5FD6203F" w:rsidP="5FD62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4FE5"/>
    <w:multiLevelType w:val="hybridMultilevel"/>
    <w:tmpl w:val="8EBC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8484B"/>
    <w:multiLevelType w:val="hybridMultilevel"/>
    <w:tmpl w:val="553064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611F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5E31DC"/>
    <w:multiLevelType w:val="hybridMultilevel"/>
    <w:tmpl w:val="1526D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D4F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7202"/>
    <w:multiLevelType w:val="hybridMultilevel"/>
    <w:tmpl w:val="F7C27AC6"/>
    <w:lvl w:ilvl="0" w:tplc="8C946EB6">
      <w:start w:val="1"/>
      <w:numFmt w:val="decimal"/>
      <w:lvlText w:val="%1."/>
      <w:lvlJc w:val="left"/>
      <w:pPr>
        <w:ind w:left="720" w:hanging="360"/>
      </w:pPr>
    </w:lvl>
    <w:lvl w:ilvl="1" w:tplc="C8C24E6A">
      <w:start w:val="1"/>
      <w:numFmt w:val="lowerLetter"/>
      <w:lvlText w:val="%2."/>
      <w:lvlJc w:val="left"/>
      <w:pPr>
        <w:ind w:left="1440" w:hanging="360"/>
      </w:pPr>
    </w:lvl>
    <w:lvl w:ilvl="2" w:tplc="8D6E53C2">
      <w:start w:val="1"/>
      <w:numFmt w:val="lowerRoman"/>
      <w:lvlText w:val="%3."/>
      <w:lvlJc w:val="right"/>
      <w:pPr>
        <w:ind w:left="2160" w:hanging="180"/>
      </w:pPr>
    </w:lvl>
    <w:lvl w:ilvl="3" w:tplc="A5BE0FD4">
      <w:start w:val="1"/>
      <w:numFmt w:val="decimal"/>
      <w:lvlText w:val="%4."/>
      <w:lvlJc w:val="left"/>
      <w:pPr>
        <w:ind w:left="2880" w:hanging="360"/>
      </w:pPr>
    </w:lvl>
    <w:lvl w:ilvl="4" w:tplc="BCB4E9E0">
      <w:start w:val="1"/>
      <w:numFmt w:val="lowerLetter"/>
      <w:lvlText w:val="%5."/>
      <w:lvlJc w:val="left"/>
      <w:pPr>
        <w:ind w:left="3600" w:hanging="360"/>
      </w:pPr>
    </w:lvl>
    <w:lvl w:ilvl="5" w:tplc="D37CD862">
      <w:start w:val="1"/>
      <w:numFmt w:val="lowerRoman"/>
      <w:lvlText w:val="%6."/>
      <w:lvlJc w:val="right"/>
      <w:pPr>
        <w:ind w:left="4320" w:hanging="180"/>
      </w:pPr>
    </w:lvl>
    <w:lvl w:ilvl="6" w:tplc="E8F0DD4E">
      <w:start w:val="1"/>
      <w:numFmt w:val="decimal"/>
      <w:lvlText w:val="%7."/>
      <w:lvlJc w:val="left"/>
      <w:pPr>
        <w:ind w:left="5040" w:hanging="360"/>
      </w:pPr>
    </w:lvl>
    <w:lvl w:ilvl="7" w:tplc="9F6450F4">
      <w:start w:val="1"/>
      <w:numFmt w:val="lowerLetter"/>
      <w:lvlText w:val="%8."/>
      <w:lvlJc w:val="left"/>
      <w:pPr>
        <w:ind w:left="5760" w:hanging="360"/>
      </w:pPr>
    </w:lvl>
    <w:lvl w:ilvl="8" w:tplc="0046E4E2">
      <w:start w:val="1"/>
      <w:numFmt w:val="lowerRoman"/>
      <w:lvlText w:val="%9."/>
      <w:lvlJc w:val="right"/>
      <w:pPr>
        <w:ind w:left="6480" w:hanging="180"/>
      </w:pPr>
    </w:lvl>
  </w:abstractNum>
  <w:abstractNum w:abstractNumId="6" w15:restartNumberingAfterBreak="0">
    <w:nsid w:val="1574489D"/>
    <w:multiLevelType w:val="multilevel"/>
    <w:tmpl w:val="725A5D84"/>
    <w:lvl w:ilvl="0">
      <w:start w:val="1"/>
      <w:numFmt w:val="decimal"/>
      <w:pStyle w:val="Style1"/>
      <w:lvlText w:val="%1."/>
      <w:lvlJc w:val="left"/>
      <w:pPr>
        <w:ind w:left="360" w:hanging="360"/>
      </w:pPr>
    </w:lvl>
    <w:lvl w:ilvl="1">
      <w:start w:val="1"/>
      <w:numFmt w:val="decimal"/>
      <w:lvlText w:val="%1.%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2054DFC"/>
    <w:multiLevelType w:val="hybridMultilevel"/>
    <w:tmpl w:val="19DA04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5C588B"/>
    <w:multiLevelType w:val="hybridMultilevel"/>
    <w:tmpl w:val="4B0A3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508E5"/>
    <w:multiLevelType w:val="hybridMultilevel"/>
    <w:tmpl w:val="F0269FDE"/>
    <w:lvl w:ilvl="0" w:tplc="93FE1AD0">
      <w:start w:val="1"/>
      <w:numFmt w:val="decimal"/>
      <w:lvlText w:val="%1."/>
      <w:lvlJc w:val="left"/>
      <w:pPr>
        <w:ind w:left="720" w:hanging="360"/>
      </w:pPr>
    </w:lvl>
    <w:lvl w:ilvl="1" w:tplc="04AA2ED8">
      <w:start w:val="1"/>
      <w:numFmt w:val="lowerLetter"/>
      <w:lvlText w:val="%2."/>
      <w:lvlJc w:val="left"/>
      <w:pPr>
        <w:ind w:left="1440" w:hanging="360"/>
      </w:pPr>
    </w:lvl>
    <w:lvl w:ilvl="2" w:tplc="6B065BD0">
      <w:start w:val="1"/>
      <w:numFmt w:val="lowerRoman"/>
      <w:lvlText w:val="%3."/>
      <w:lvlJc w:val="right"/>
      <w:pPr>
        <w:ind w:left="2160" w:hanging="180"/>
      </w:pPr>
    </w:lvl>
    <w:lvl w:ilvl="3" w:tplc="BD1EAA50">
      <w:start w:val="1"/>
      <w:numFmt w:val="decimal"/>
      <w:lvlText w:val="%4."/>
      <w:lvlJc w:val="left"/>
      <w:pPr>
        <w:ind w:left="2880" w:hanging="360"/>
      </w:pPr>
    </w:lvl>
    <w:lvl w:ilvl="4" w:tplc="62F00A1E">
      <w:start w:val="1"/>
      <w:numFmt w:val="lowerLetter"/>
      <w:lvlText w:val="%5."/>
      <w:lvlJc w:val="left"/>
      <w:pPr>
        <w:ind w:left="3600" w:hanging="360"/>
      </w:pPr>
    </w:lvl>
    <w:lvl w:ilvl="5" w:tplc="A5948920">
      <w:start w:val="1"/>
      <w:numFmt w:val="lowerRoman"/>
      <w:lvlText w:val="%6."/>
      <w:lvlJc w:val="right"/>
      <w:pPr>
        <w:ind w:left="4320" w:hanging="180"/>
      </w:pPr>
    </w:lvl>
    <w:lvl w:ilvl="6" w:tplc="138C3AA4">
      <w:start w:val="1"/>
      <w:numFmt w:val="decimal"/>
      <w:lvlText w:val="%7."/>
      <w:lvlJc w:val="left"/>
      <w:pPr>
        <w:ind w:left="5040" w:hanging="360"/>
      </w:pPr>
    </w:lvl>
    <w:lvl w:ilvl="7" w:tplc="01B6047E">
      <w:start w:val="1"/>
      <w:numFmt w:val="lowerLetter"/>
      <w:lvlText w:val="%8."/>
      <w:lvlJc w:val="left"/>
      <w:pPr>
        <w:ind w:left="5760" w:hanging="360"/>
      </w:pPr>
    </w:lvl>
    <w:lvl w:ilvl="8" w:tplc="BB5EAECE">
      <w:start w:val="1"/>
      <w:numFmt w:val="lowerRoman"/>
      <w:lvlText w:val="%9."/>
      <w:lvlJc w:val="right"/>
      <w:pPr>
        <w:ind w:left="6480" w:hanging="180"/>
      </w:pPr>
    </w:lvl>
  </w:abstractNum>
  <w:abstractNum w:abstractNumId="10" w15:restartNumberingAfterBreak="0">
    <w:nsid w:val="415353A6"/>
    <w:multiLevelType w:val="hybridMultilevel"/>
    <w:tmpl w:val="8BEE9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7C0AE0"/>
    <w:multiLevelType w:val="hybridMultilevel"/>
    <w:tmpl w:val="B87A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915E7D"/>
    <w:multiLevelType w:val="hybridMultilevel"/>
    <w:tmpl w:val="5922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687766"/>
    <w:multiLevelType w:val="hybridMultilevel"/>
    <w:tmpl w:val="9DFC4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B803F1"/>
    <w:multiLevelType w:val="hybridMultilevel"/>
    <w:tmpl w:val="DAE65760"/>
    <w:lvl w:ilvl="0" w:tplc="56F67E2C">
      <w:start w:val="1"/>
      <w:numFmt w:val="lowerLetter"/>
      <w:pStyle w:val="Style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940B0A"/>
    <w:multiLevelType w:val="hybridMultilevel"/>
    <w:tmpl w:val="67AA8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6"/>
  </w:num>
  <w:num w:numId="5">
    <w:abstractNumId w:val="13"/>
  </w:num>
  <w:num w:numId="6">
    <w:abstractNumId w:val="7"/>
  </w:num>
  <w:num w:numId="7">
    <w:abstractNumId w:val="15"/>
  </w:num>
  <w:num w:numId="8">
    <w:abstractNumId w:val="0"/>
  </w:num>
  <w:num w:numId="9">
    <w:abstractNumId w:val="1"/>
  </w:num>
  <w:num w:numId="10">
    <w:abstractNumId w:val="14"/>
  </w:num>
  <w:num w:numId="11">
    <w:abstractNumId w:val="2"/>
  </w:num>
  <w:num w:numId="12">
    <w:abstractNumId w:val="4"/>
  </w:num>
  <w:num w:numId="13">
    <w:abstractNumId w:val="14"/>
  </w:num>
  <w:num w:numId="14">
    <w:abstractNumId w:val="14"/>
  </w:num>
  <w:num w:numId="15">
    <w:abstractNumId w:val="12"/>
  </w:num>
  <w:num w:numId="16">
    <w:abstractNumId w:val="6"/>
  </w:num>
  <w:num w:numId="17">
    <w:abstractNumId w:val="14"/>
  </w:num>
  <w:num w:numId="18">
    <w:abstractNumId w:val="14"/>
  </w:num>
  <w:num w:numId="19">
    <w:abstractNumId w:val="14"/>
  </w:num>
  <w:num w:numId="20">
    <w:abstractNumId w:val="11"/>
  </w:num>
  <w:num w:numId="21">
    <w:abstractNumId w:val="14"/>
  </w:num>
  <w:num w:numId="22">
    <w:abstractNumId w:val="8"/>
  </w:num>
  <w:num w:numId="23">
    <w:abstractNumId w:val="14"/>
  </w:num>
  <w:num w:numId="24">
    <w:abstractNumId w:val="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CD6"/>
    <w:rsid w:val="00024A27"/>
    <w:rsid w:val="0003D4B5"/>
    <w:rsid w:val="00066A54"/>
    <w:rsid w:val="000A232A"/>
    <w:rsid w:val="000A7044"/>
    <w:rsid w:val="000B53F1"/>
    <w:rsid w:val="000C2064"/>
    <w:rsid w:val="00102F16"/>
    <w:rsid w:val="0010774A"/>
    <w:rsid w:val="001207B3"/>
    <w:rsid w:val="00122375"/>
    <w:rsid w:val="00194A77"/>
    <w:rsid w:val="001A4E52"/>
    <w:rsid w:val="001D0322"/>
    <w:rsid w:val="001F705D"/>
    <w:rsid w:val="00203BBF"/>
    <w:rsid w:val="00220C05"/>
    <w:rsid w:val="002367BC"/>
    <w:rsid w:val="002436B8"/>
    <w:rsid w:val="002933D1"/>
    <w:rsid w:val="002A6740"/>
    <w:rsid w:val="002B180B"/>
    <w:rsid w:val="002C5CD9"/>
    <w:rsid w:val="00332334"/>
    <w:rsid w:val="0034CDAD"/>
    <w:rsid w:val="00366C04"/>
    <w:rsid w:val="0037500A"/>
    <w:rsid w:val="00395D69"/>
    <w:rsid w:val="003A2B8C"/>
    <w:rsid w:val="003A43A5"/>
    <w:rsid w:val="003B4C0F"/>
    <w:rsid w:val="003C0020"/>
    <w:rsid w:val="003D07F3"/>
    <w:rsid w:val="003D37D9"/>
    <w:rsid w:val="003F5650"/>
    <w:rsid w:val="003F69F3"/>
    <w:rsid w:val="00403126"/>
    <w:rsid w:val="00447FFC"/>
    <w:rsid w:val="00453EB6"/>
    <w:rsid w:val="0046163B"/>
    <w:rsid w:val="00472AF7"/>
    <w:rsid w:val="004D3214"/>
    <w:rsid w:val="004F640B"/>
    <w:rsid w:val="004F7EFC"/>
    <w:rsid w:val="005059A8"/>
    <w:rsid w:val="00510B54"/>
    <w:rsid w:val="005225D9"/>
    <w:rsid w:val="00571F73"/>
    <w:rsid w:val="00594C39"/>
    <w:rsid w:val="005A31E7"/>
    <w:rsid w:val="005F6142"/>
    <w:rsid w:val="006564F3"/>
    <w:rsid w:val="006805CC"/>
    <w:rsid w:val="006915F0"/>
    <w:rsid w:val="00696C5A"/>
    <w:rsid w:val="006C3B28"/>
    <w:rsid w:val="006E762E"/>
    <w:rsid w:val="00703C8D"/>
    <w:rsid w:val="007252AE"/>
    <w:rsid w:val="0074712C"/>
    <w:rsid w:val="0075078D"/>
    <w:rsid w:val="007C624D"/>
    <w:rsid w:val="0080108F"/>
    <w:rsid w:val="00836056"/>
    <w:rsid w:val="008547BD"/>
    <w:rsid w:val="00864E34"/>
    <w:rsid w:val="00866853"/>
    <w:rsid w:val="00885CD6"/>
    <w:rsid w:val="008B0CA3"/>
    <w:rsid w:val="008B5E84"/>
    <w:rsid w:val="008E1F8C"/>
    <w:rsid w:val="008F1160"/>
    <w:rsid w:val="00922164"/>
    <w:rsid w:val="00927E56"/>
    <w:rsid w:val="009312E6"/>
    <w:rsid w:val="00933E14"/>
    <w:rsid w:val="00970897"/>
    <w:rsid w:val="00984DFE"/>
    <w:rsid w:val="009866CD"/>
    <w:rsid w:val="009C6081"/>
    <w:rsid w:val="009D5C2F"/>
    <w:rsid w:val="009D6B36"/>
    <w:rsid w:val="009E4863"/>
    <w:rsid w:val="009F5C08"/>
    <w:rsid w:val="00A158CE"/>
    <w:rsid w:val="00A34C9A"/>
    <w:rsid w:val="00A40C36"/>
    <w:rsid w:val="00A6DA81"/>
    <w:rsid w:val="00AD3C86"/>
    <w:rsid w:val="00AD7919"/>
    <w:rsid w:val="00AE3BDF"/>
    <w:rsid w:val="00AF0D10"/>
    <w:rsid w:val="00B133DD"/>
    <w:rsid w:val="00B44F7E"/>
    <w:rsid w:val="00B657DF"/>
    <w:rsid w:val="00B77934"/>
    <w:rsid w:val="00BC3342"/>
    <w:rsid w:val="00BD23FA"/>
    <w:rsid w:val="00C0678C"/>
    <w:rsid w:val="00C11F08"/>
    <w:rsid w:val="00C43D8B"/>
    <w:rsid w:val="00CA1C22"/>
    <w:rsid w:val="00CC1734"/>
    <w:rsid w:val="00D07749"/>
    <w:rsid w:val="00D52DE3"/>
    <w:rsid w:val="00D55DC0"/>
    <w:rsid w:val="00D639CA"/>
    <w:rsid w:val="00D77134"/>
    <w:rsid w:val="00D8599E"/>
    <w:rsid w:val="00D865EE"/>
    <w:rsid w:val="00D904CC"/>
    <w:rsid w:val="00D9181D"/>
    <w:rsid w:val="00DB02AF"/>
    <w:rsid w:val="00E00A74"/>
    <w:rsid w:val="00E67F8D"/>
    <w:rsid w:val="00E7594E"/>
    <w:rsid w:val="00E91C48"/>
    <w:rsid w:val="00E92D00"/>
    <w:rsid w:val="00EB65F6"/>
    <w:rsid w:val="00ED5C4A"/>
    <w:rsid w:val="00EF45B8"/>
    <w:rsid w:val="00F04198"/>
    <w:rsid w:val="00F36324"/>
    <w:rsid w:val="00F46430"/>
    <w:rsid w:val="00F46623"/>
    <w:rsid w:val="00F5374A"/>
    <w:rsid w:val="00F758B8"/>
    <w:rsid w:val="00F94C01"/>
    <w:rsid w:val="00FB0C28"/>
    <w:rsid w:val="00FC5B66"/>
    <w:rsid w:val="00FC7250"/>
    <w:rsid w:val="00FD79FE"/>
    <w:rsid w:val="015D1641"/>
    <w:rsid w:val="01DF252C"/>
    <w:rsid w:val="01E6992D"/>
    <w:rsid w:val="0200063E"/>
    <w:rsid w:val="02129720"/>
    <w:rsid w:val="02516777"/>
    <w:rsid w:val="02FC09CC"/>
    <w:rsid w:val="03038663"/>
    <w:rsid w:val="0335E5B0"/>
    <w:rsid w:val="036225A3"/>
    <w:rsid w:val="03D309AE"/>
    <w:rsid w:val="04010B61"/>
    <w:rsid w:val="041F0335"/>
    <w:rsid w:val="04661699"/>
    <w:rsid w:val="04CE1F67"/>
    <w:rsid w:val="052CB738"/>
    <w:rsid w:val="061F6F16"/>
    <w:rsid w:val="078E9A6E"/>
    <w:rsid w:val="08928105"/>
    <w:rsid w:val="08DA50E6"/>
    <w:rsid w:val="09025AE0"/>
    <w:rsid w:val="0947407B"/>
    <w:rsid w:val="0A037F33"/>
    <w:rsid w:val="0B0DA17D"/>
    <w:rsid w:val="0B475D07"/>
    <w:rsid w:val="0B7E9D27"/>
    <w:rsid w:val="0CB76C20"/>
    <w:rsid w:val="0D11480A"/>
    <w:rsid w:val="0DDEAFB5"/>
    <w:rsid w:val="0DED9C9D"/>
    <w:rsid w:val="0E715202"/>
    <w:rsid w:val="0EDA39B2"/>
    <w:rsid w:val="0F2DC9B4"/>
    <w:rsid w:val="0F76ED79"/>
    <w:rsid w:val="116BC9A1"/>
    <w:rsid w:val="11C9417C"/>
    <w:rsid w:val="12096AEE"/>
    <w:rsid w:val="121F354F"/>
    <w:rsid w:val="123B3F98"/>
    <w:rsid w:val="12B14171"/>
    <w:rsid w:val="12D0C2A6"/>
    <w:rsid w:val="12EA5E0A"/>
    <w:rsid w:val="14142BCF"/>
    <w:rsid w:val="142F2EB0"/>
    <w:rsid w:val="14C98284"/>
    <w:rsid w:val="15396FE1"/>
    <w:rsid w:val="156FD3B7"/>
    <w:rsid w:val="15781709"/>
    <w:rsid w:val="15CA4CA7"/>
    <w:rsid w:val="15DA1EC9"/>
    <w:rsid w:val="160893B7"/>
    <w:rsid w:val="1672C794"/>
    <w:rsid w:val="167471FA"/>
    <w:rsid w:val="17C33601"/>
    <w:rsid w:val="18449CC9"/>
    <w:rsid w:val="1889EA18"/>
    <w:rsid w:val="18923461"/>
    <w:rsid w:val="18BB2937"/>
    <w:rsid w:val="191A1725"/>
    <w:rsid w:val="19725E9D"/>
    <w:rsid w:val="198C1E72"/>
    <w:rsid w:val="1A434A73"/>
    <w:rsid w:val="1B0583BD"/>
    <w:rsid w:val="1B0F4406"/>
    <w:rsid w:val="1B2D4BA8"/>
    <w:rsid w:val="1B3268D2"/>
    <w:rsid w:val="1B61C617"/>
    <w:rsid w:val="1B89F5B3"/>
    <w:rsid w:val="1B97C851"/>
    <w:rsid w:val="1BF49D1F"/>
    <w:rsid w:val="1C1655EF"/>
    <w:rsid w:val="1C222D24"/>
    <w:rsid w:val="1DD7D75E"/>
    <w:rsid w:val="1E5CDA48"/>
    <w:rsid w:val="1EBBFDA9"/>
    <w:rsid w:val="1F6294C2"/>
    <w:rsid w:val="1F888599"/>
    <w:rsid w:val="1FCFED46"/>
    <w:rsid w:val="1FD6838C"/>
    <w:rsid w:val="201DE3E5"/>
    <w:rsid w:val="2099C509"/>
    <w:rsid w:val="20AD9819"/>
    <w:rsid w:val="21922A01"/>
    <w:rsid w:val="2220B09C"/>
    <w:rsid w:val="24BADB31"/>
    <w:rsid w:val="24E1BEA4"/>
    <w:rsid w:val="24E47DAE"/>
    <w:rsid w:val="253731AD"/>
    <w:rsid w:val="265AE676"/>
    <w:rsid w:val="277FF32C"/>
    <w:rsid w:val="278043CE"/>
    <w:rsid w:val="27C74852"/>
    <w:rsid w:val="27FCD778"/>
    <w:rsid w:val="2805A78F"/>
    <w:rsid w:val="28BB87F7"/>
    <w:rsid w:val="28D2082D"/>
    <w:rsid w:val="28FF9C0D"/>
    <w:rsid w:val="29B14B15"/>
    <w:rsid w:val="29C08063"/>
    <w:rsid w:val="29C859EA"/>
    <w:rsid w:val="2A0208F7"/>
    <w:rsid w:val="2AFCD29C"/>
    <w:rsid w:val="2B61E924"/>
    <w:rsid w:val="2B7E84B7"/>
    <w:rsid w:val="2B821805"/>
    <w:rsid w:val="2BA7E9B1"/>
    <w:rsid w:val="2BC270C1"/>
    <w:rsid w:val="2C477BB5"/>
    <w:rsid w:val="2CE31D1E"/>
    <w:rsid w:val="2E5D9E1A"/>
    <w:rsid w:val="2E6F5441"/>
    <w:rsid w:val="2E849BE9"/>
    <w:rsid w:val="2F179EA0"/>
    <w:rsid w:val="2F3BFAE5"/>
    <w:rsid w:val="2FF7BFE4"/>
    <w:rsid w:val="307D1E42"/>
    <w:rsid w:val="309E9C8A"/>
    <w:rsid w:val="31444D66"/>
    <w:rsid w:val="3185C0C3"/>
    <w:rsid w:val="31C44439"/>
    <w:rsid w:val="31C93D1C"/>
    <w:rsid w:val="320D808D"/>
    <w:rsid w:val="32A8E6B3"/>
    <w:rsid w:val="33AB70B8"/>
    <w:rsid w:val="3444A12F"/>
    <w:rsid w:val="347909EF"/>
    <w:rsid w:val="34F92231"/>
    <w:rsid w:val="35DEA467"/>
    <w:rsid w:val="37245471"/>
    <w:rsid w:val="37B5FCEE"/>
    <w:rsid w:val="37E0C509"/>
    <w:rsid w:val="37F17CF7"/>
    <w:rsid w:val="386EEC1F"/>
    <w:rsid w:val="3888AF4C"/>
    <w:rsid w:val="3894CA8D"/>
    <w:rsid w:val="391C0119"/>
    <w:rsid w:val="39424DA6"/>
    <w:rsid w:val="3968490A"/>
    <w:rsid w:val="39ACECAB"/>
    <w:rsid w:val="39D5B9E7"/>
    <w:rsid w:val="3A0578BD"/>
    <w:rsid w:val="3A6484B3"/>
    <w:rsid w:val="3B477D42"/>
    <w:rsid w:val="3B6CA5E7"/>
    <w:rsid w:val="3C23A217"/>
    <w:rsid w:val="3C4EBE01"/>
    <w:rsid w:val="3C673668"/>
    <w:rsid w:val="3C80F2A1"/>
    <w:rsid w:val="3C9B35C8"/>
    <w:rsid w:val="3CDFA881"/>
    <w:rsid w:val="3D2CFA03"/>
    <w:rsid w:val="3D435961"/>
    <w:rsid w:val="3D66A8EF"/>
    <w:rsid w:val="3D85E659"/>
    <w:rsid w:val="3F17A2FA"/>
    <w:rsid w:val="401E2008"/>
    <w:rsid w:val="40699634"/>
    <w:rsid w:val="40913C36"/>
    <w:rsid w:val="409DC9E0"/>
    <w:rsid w:val="40B955F6"/>
    <w:rsid w:val="40F2A578"/>
    <w:rsid w:val="4130B1D4"/>
    <w:rsid w:val="422B95A6"/>
    <w:rsid w:val="424D16DB"/>
    <w:rsid w:val="4281CA26"/>
    <w:rsid w:val="42844EA5"/>
    <w:rsid w:val="42D1DFAC"/>
    <w:rsid w:val="430CB886"/>
    <w:rsid w:val="43CCBD1C"/>
    <w:rsid w:val="43D339DE"/>
    <w:rsid w:val="43DBF021"/>
    <w:rsid w:val="44695AC7"/>
    <w:rsid w:val="450EBB0C"/>
    <w:rsid w:val="452AB4FA"/>
    <w:rsid w:val="45A2C139"/>
    <w:rsid w:val="464ECAF1"/>
    <w:rsid w:val="477B301F"/>
    <w:rsid w:val="47E0F1F4"/>
    <w:rsid w:val="48EE0585"/>
    <w:rsid w:val="4985911D"/>
    <w:rsid w:val="4A043E26"/>
    <w:rsid w:val="4A9C3FED"/>
    <w:rsid w:val="4B6EF850"/>
    <w:rsid w:val="4BA9D1CC"/>
    <w:rsid w:val="4BFE4938"/>
    <w:rsid w:val="4C655591"/>
    <w:rsid w:val="4C9D3F8B"/>
    <w:rsid w:val="4CD2335D"/>
    <w:rsid w:val="4D229D84"/>
    <w:rsid w:val="4D68AB97"/>
    <w:rsid w:val="4DED93CC"/>
    <w:rsid w:val="4E59F1FE"/>
    <w:rsid w:val="4ED047F0"/>
    <w:rsid w:val="4EEE75BF"/>
    <w:rsid w:val="4F3E3B59"/>
    <w:rsid w:val="515BAF3A"/>
    <w:rsid w:val="52937F9A"/>
    <w:rsid w:val="53196E00"/>
    <w:rsid w:val="53216A2B"/>
    <w:rsid w:val="53833FC8"/>
    <w:rsid w:val="544805F5"/>
    <w:rsid w:val="54936491"/>
    <w:rsid w:val="54ECEC77"/>
    <w:rsid w:val="56378124"/>
    <w:rsid w:val="57DD6CAB"/>
    <w:rsid w:val="57F2F16F"/>
    <w:rsid w:val="597A9AD6"/>
    <w:rsid w:val="59CEF482"/>
    <w:rsid w:val="5E3BD6D6"/>
    <w:rsid w:val="5E5CB02D"/>
    <w:rsid w:val="5EE7DBC6"/>
    <w:rsid w:val="5F16C6EE"/>
    <w:rsid w:val="5FD6203F"/>
    <w:rsid w:val="608EFF64"/>
    <w:rsid w:val="60B24B18"/>
    <w:rsid w:val="6197CA8C"/>
    <w:rsid w:val="619EA3ED"/>
    <w:rsid w:val="61DB2AA9"/>
    <w:rsid w:val="61EF424F"/>
    <w:rsid w:val="621C9C7E"/>
    <w:rsid w:val="626014E6"/>
    <w:rsid w:val="63257BBE"/>
    <w:rsid w:val="63AE5144"/>
    <w:rsid w:val="642D96F3"/>
    <w:rsid w:val="6471B645"/>
    <w:rsid w:val="64877CC7"/>
    <w:rsid w:val="64CB90EF"/>
    <w:rsid w:val="64F582DC"/>
    <w:rsid w:val="65FDECBA"/>
    <w:rsid w:val="662D1B7A"/>
    <w:rsid w:val="681D9104"/>
    <w:rsid w:val="6884D339"/>
    <w:rsid w:val="68C55F63"/>
    <w:rsid w:val="693AFAF7"/>
    <w:rsid w:val="6999C059"/>
    <w:rsid w:val="69B38BA3"/>
    <w:rsid w:val="6A7651BA"/>
    <w:rsid w:val="6AE8DF16"/>
    <w:rsid w:val="6BB6E55D"/>
    <w:rsid w:val="6BD14E49"/>
    <w:rsid w:val="6C4A196A"/>
    <w:rsid w:val="6CF1C991"/>
    <w:rsid w:val="6D3D9077"/>
    <w:rsid w:val="6D5B9416"/>
    <w:rsid w:val="6E111363"/>
    <w:rsid w:val="6E5AEEF6"/>
    <w:rsid w:val="6EF61029"/>
    <w:rsid w:val="6F2C57E6"/>
    <w:rsid w:val="7030D1C2"/>
    <w:rsid w:val="70AB4672"/>
    <w:rsid w:val="70B3CA6B"/>
    <w:rsid w:val="70D1A788"/>
    <w:rsid w:val="70E06B09"/>
    <w:rsid w:val="70EA15E9"/>
    <w:rsid w:val="70ECF2B9"/>
    <w:rsid w:val="7174B168"/>
    <w:rsid w:val="721ED377"/>
    <w:rsid w:val="724EF324"/>
    <w:rsid w:val="727BB9C1"/>
    <w:rsid w:val="73611611"/>
    <w:rsid w:val="73A318DD"/>
    <w:rsid w:val="75147AE5"/>
    <w:rsid w:val="7521781E"/>
    <w:rsid w:val="752BEA23"/>
    <w:rsid w:val="758A1DEF"/>
    <w:rsid w:val="75993323"/>
    <w:rsid w:val="759D21E2"/>
    <w:rsid w:val="75F4F016"/>
    <w:rsid w:val="76255B17"/>
    <w:rsid w:val="76266298"/>
    <w:rsid w:val="76A8C359"/>
    <w:rsid w:val="76CCE040"/>
    <w:rsid w:val="77A3BE71"/>
    <w:rsid w:val="7831C3CD"/>
    <w:rsid w:val="799038F6"/>
    <w:rsid w:val="7B961042"/>
    <w:rsid w:val="7C379BE7"/>
    <w:rsid w:val="7C58B266"/>
    <w:rsid w:val="7D965573"/>
    <w:rsid w:val="7E0B2882"/>
    <w:rsid w:val="7EB1E3BE"/>
    <w:rsid w:val="7F51CE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7188A"/>
  <w15:chartTrackingRefBased/>
  <w15:docId w15:val="{E4498AA9-5D21-440E-8342-1CB1572F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81D"/>
    <w:pPr>
      <w:spacing w:after="0" w:line="240" w:lineRule="auto"/>
    </w:pPr>
    <w:rPr>
      <w:rFonts w:ascii="Arial" w:hAnsi="Arial"/>
      <w:sz w:val="20"/>
    </w:rPr>
  </w:style>
  <w:style w:type="paragraph" w:styleId="Heading1">
    <w:name w:val="heading 1"/>
    <w:basedOn w:val="Normal"/>
    <w:next w:val="Normal"/>
    <w:link w:val="Heading1Char"/>
    <w:uiPriority w:val="9"/>
    <w:qFormat/>
    <w:rsid w:val="00885C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5CD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85CD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CD6"/>
    <w:pPr>
      <w:ind w:left="720"/>
      <w:contextualSpacing/>
    </w:pPr>
  </w:style>
  <w:style w:type="character" w:customStyle="1" w:styleId="Heading1Char">
    <w:name w:val="Heading 1 Char"/>
    <w:basedOn w:val="DefaultParagraphFont"/>
    <w:link w:val="Heading1"/>
    <w:uiPriority w:val="9"/>
    <w:rsid w:val="00885CD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85CD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85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CD6"/>
    <w:rPr>
      <w:rFonts w:ascii="Segoe UI" w:hAnsi="Segoe UI" w:cs="Segoe UI"/>
      <w:sz w:val="18"/>
      <w:szCs w:val="18"/>
    </w:rPr>
  </w:style>
  <w:style w:type="character" w:customStyle="1" w:styleId="Heading3Char">
    <w:name w:val="Heading 3 Char"/>
    <w:basedOn w:val="DefaultParagraphFont"/>
    <w:link w:val="Heading3"/>
    <w:uiPriority w:val="9"/>
    <w:rsid w:val="00885CD6"/>
    <w:rPr>
      <w:rFonts w:asciiTheme="majorHAnsi" w:eastAsiaTheme="majorEastAsia" w:hAnsiTheme="majorHAnsi" w:cstheme="majorBidi"/>
      <w:color w:val="1F4D78" w:themeColor="accent1" w:themeShade="7F"/>
      <w:sz w:val="24"/>
      <w:szCs w:val="24"/>
    </w:rPr>
  </w:style>
  <w:style w:type="paragraph" w:customStyle="1" w:styleId="Style1">
    <w:name w:val="Style1"/>
    <w:basedOn w:val="Heading3"/>
    <w:next w:val="Normal"/>
    <w:link w:val="Style1Char"/>
    <w:qFormat/>
    <w:rsid w:val="00885CD6"/>
    <w:pPr>
      <w:numPr>
        <w:numId w:val="4"/>
      </w:numPr>
    </w:pPr>
  </w:style>
  <w:style w:type="paragraph" w:customStyle="1" w:styleId="Style2">
    <w:name w:val="Style2"/>
    <w:basedOn w:val="Style1"/>
    <w:link w:val="Style2Char"/>
    <w:qFormat/>
    <w:rsid w:val="00D07749"/>
    <w:rPr>
      <w:rFonts w:ascii="Arial" w:hAnsi="Arial"/>
      <w:sz w:val="22"/>
    </w:rPr>
  </w:style>
  <w:style w:type="character" w:customStyle="1" w:styleId="Style1Char">
    <w:name w:val="Style1 Char"/>
    <w:basedOn w:val="Heading3Char"/>
    <w:link w:val="Style1"/>
    <w:rsid w:val="00885CD6"/>
    <w:rPr>
      <w:rFonts w:asciiTheme="majorHAnsi" w:eastAsiaTheme="majorEastAsia" w:hAnsiTheme="majorHAnsi" w:cstheme="majorBidi"/>
      <w:color w:val="1F4D78" w:themeColor="accent1" w:themeShade="7F"/>
      <w:sz w:val="24"/>
      <w:szCs w:val="24"/>
    </w:rPr>
  </w:style>
  <w:style w:type="character" w:customStyle="1" w:styleId="Style2Char">
    <w:name w:val="Style2 Char"/>
    <w:basedOn w:val="Style1Char"/>
    <w:link w:val="Style2"/>
    <w:rsid w:val="00D07749"/>
    <w:rPr>
      <w:rFonts w:ascii="Arial" w:eastAsiaTheme="majorEastAsia" w:hAnsi="Arial" w:cstheme="majorBidi"/>
      <w:color w:val="1F4D78" w:themeColor="accent1" w:themeShade="7F"/>
      <w:sz w:val="24"/>
      <w:szCs w:val="24"/>
    </w:rPr>
  </w:style>
  <w:style w:type="paragraph" w:customStyle="1" w:styleId="Style3">
    <w:name w:val="Style3"/>
    <w:basedOn w:val="Normal"/>
    <w:link w:val="Style3Char"/>
    <w:qFormat/>
    <w:rsid w:val="00D8599E"/>
    <w:pPr>
      <w:numPr>
        <w:numId w:val="10"/>
      </w:numPr>
    </w:pPr>
    <w:rPr>
      <w:color w:val="1F4E79" w:themeColor="accent1" w:themeShade="80"/>
    </w:rPr>
  </w:style>
  <w:style w:type="character" w:customStyle="1" w:styleId="Style3Char">
    <w:name w:val="Style3 Char"/>
    <w:basedOn w:val="DefaultParagraphFont"/>
    <w:link w:val="Style3"/>
    <w:rsid w:val="00D8599E"/>
    <w:rPr>
      <w:rFonts w:ascii="Arial" w:hAnsi="Arial"/>
      <w:color w:val="1F4E79" w:themeColor="accent1" w:themeShade="80"/>
      <w:sz w:val="20"/>
    </w:rPr>
  </w:style>
  <w:style w:type="table" w:styleId="TableGrid">
    <w:name w:val="Table Grid"/>
    <w:basedOn w:val="TableNormal"/>
    <w:uiPriority w:val="39"/>
    <w:rsid w:val="002A6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C0020"/>
    <w:rPr>
      <w:szCs w:val="20"/>
    </w:rPr>
  </w:style>
  <w:style w:type="character" w:customStyle="1" w:styleId="FootnoteTextChar">
    <w:name w:val="Footnote Text Char"/>
    <w:basedOn w:val="DefaultParagraphFont"/>
    <w:link w:val="FootnoteText"/>
    <w:uiPriority w:val="99"/>
    <w:semiHidden/>
    <w:rsid w:val="003C0020"/>
    <w:rPr>
      <w:rFonts w:ascii="Arial" w:hAnsi="Arial"/>
      <w:sz w:val="20"/>
      <w:szCs w:val="20"/>
    </w:rPr>
  </w:style>
  <w:style w:type="character" w:styleId="FootnoteReference">
    <w:name w:val="footnote reference"/>
    <w:basedOn w:val="DefaultParagraphFont"/>
    <w:uiPriority w:val="99"/>
    <w:semiHidden/>
    <w:unhideWhenUsed/>
    <w:rsid w:val="003C0020"/>
    <w:rPr>
      <w:vertAlign w:val="superscript"/>
    </w:rPr>
  </w:style>
  <w:style w:type="paragraph" w:styleId="TOC2">
    <w:name w:val="toc 2"/>
    <w:basedOn w:val="Normal"/>
    <w:next w:val="Normal"/>
    <w:autoRedefine/>
    <w:uiPriority w:val="39"/>
    <w:unhideWhenUsed/>
    <w:rsid w:val="00395D69"/>
    <w:pPr>
      <w:spacing w:after="100"/>
      <w:ind w:left="200"/>
    </w:pPr>
  </w:style>
  <w:style w:type="character" w:styleId="Hyperlink">
    <w:name w:val="Hyperlink"/>
    <w:basedOn w:val="DefaultParagraphFont"/>
    <w:uiPriority w:val="99"/>
    <w:unhideWhenUsed/>
    <w:rsid w:val="00395D69"/>
    <w:rPr>
      <w:color w:val="0563C1" w:themeColor="hyperlink"/>
      <w:u w:val="single"/>
    </w:rPr>
  </w:style>
  <w:style w:type="paragraph" w:styleId="TOC3">
    <w:name w:val="toc 3"/>
    <w:basedOn w:val="Normal"/>
    <w:next w:val="Normal"/>
    <w:autoRedefine/>
    <w:uiPriority w:val="39"/>
    <w:unhideWhenUsed/>
    <w:rsid w:val="00395D69"/>
    <w:pPr>
      <w:spacing w:after="100"/>
      <w:ind w:left="400"/>
    </w:pPr>
  </w:style>
  <w:style w:type="character" w:styleId="CommentReference">
    <w:name w:val="annotation reference"/>
    <w:basedOn w:val="DefaultParagraphFont"/>
    <w:uiPriority w:val="99"/>
    <w:semiHidden/>
    <w:unhideWhenUsed/>
    <w:rsid w:val="005F6142"/>
    <w:rPr>
      <w:sz w:val="16"/>
      <w:szCs w:val="16"/>
    </w:rPr>
  </w:style>
  <w:style w:type="paragraph" w:styleId="CommentText">
    <w:name w:val="annotation text"/>
    <w:basedOn w:val="Normal"/>
    <w:link w:val="CommentTextChar"/>
    <w:uiPriority w:val="99"/>
    <w:semiHidden/>
    <w:unhideWhenUsed/>
    <w:rsid w:val="005F6142"/>
    <w:rPr>
      <w:szCs w:val="20"/>
    </w:rPr>
  </w:style>
  <w:style w:type="character" w:customStyle="1" w:styleId="CommentTextChar">
    <w:name w:val="Comment Text Char"/>
    <w:basedOn w:val="DefaultParagraphFont"/>
    <w:link w:val="CommentText"/>
    <w:uiPriority w:val="99"/>
    <w:semiHidden/>
    <w:rsid w:val="005F614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F6142"/>
    <w:rPr>
      <w:b/>
      <w:bCs/>
    </w:rPr>
  </w:style>
  <w:style w:type="character" w:customStyle="1" w:styleId="CommentSubjectChar">
    <w:name w:val="Comment Subject Char"/>
    <w:basedOn w:val="CommentTextChar"/>
    <w:link w:val="CommentSubject"/>
    <w:uiPriority w:val="99"/>
    <w:semiHidden/>
    <w:rsid w:val="005F6142"/>
    <w:rPr>
      <w:rFonts w:ascii="Arial" w:hAnsi="Arial"/>
      <w:b/>
      <w:bCs/>
      <w:sz w:val="20"/>
      <w:szCs w:val="20"/>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UnresolvedMention">
    <w:name w:val="Unresolved Mention"/>
    <w:basedOn w:val="DefaultParagraphFont"/>
    <w:uiPriority w:val="99"/>
    <w:semiHidden/>
    <w:unhideWhenUsed/>
    <w:rsid w:val="00866853"/>
    <w:rPr>
      <w:color w:val="605E5C"/>
      <w:shd w:val="clear" w:color="auto" w:fill="E1DFDD"/>
    </w:rPr>
  </w:style>
  <w:style w:type="character" w:styleId="FollowedHyperlink">
    <w:name w:val="FollowedHyperlink"/>
    <w:basedOn w:val="DefaultParagraphFont"/>
    <w:uiPriority w:val="99"/>
    <w:semiHidden/>
    <w:unhideWhenUsed/>
    <w:rsid w:val="008668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04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2B4A1-CF6F-485B-9494-7D58C649C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3556</Words>
  <Characters>20274</Characters>
  <Application>Microsoft Office Word</Application>
  <DocSecurity>0</DocSecurity>
  <Lines>168</Lines>
  <Paragraphs>47</Paragraphs>
  <ScaleCrop>false</ScaleCrop>
  <Company>UoB IT Services</Company>
  <LinksUpToDate>false</LinksUpToDate>
  <CharactersWithSpaces>23783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Smith (Management)</dc:creator>
  <cp:keywords/>
  <dc:description/>
  <cp:lastModifiedBy>Matthew Draycott</cp:lastModifiedBy>
  <cp:revision>2</cp:revision>
  <dcterms:created xsi:type="dcterms:W3CDTF">2021-09-29T10:16:00Z</dcterms:created>
  <dcterms:modified xsi:type="dcterms:W3CDTF">2021-09-29T10:16:00Z</dcterms:modified>
</cp:coreProperties>
</file>