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5B" w:rsidRPr="009106AE" w:rsidRDefault="00A43482" w:rsidP="009106AE">
      <w:pPr>
        <w:spacing w:line="480" w:lineRule="auto"/>
        <w:rPr>
          <w:b/>
        </w:rPr>
      </w:pPr>
      <w:r w:rsidRPr="009106AE">
        <w:rPr>
          <w:b/>
        </w:rPr>
        <w:t xml:space="preserve">Title: </w:t>
      </w:r>
      <w:r w:rsidR="00C034E5" w:rsidRPr="009106AE">
        <w:rPr>
          <w:b/>
        </w:rPr>
        <w:t>Transcriptomic analysis for differential expression of genes involved in secondary meta</w:t>
      </w:r>
      <w:r w:rsidR="000B56C2" w:rsidRPr="009106AE">
        <w:rPr>
          <w:b/>
        </w:rPr>
        <w:t xml:space="preserve">bolite production in </w:t>
      </w:r>
      <w:r w:rsidR="000B56C2" w:rsidRPr="009106AE">
        <w:rPr>
          <w:b/>
          <w:i/>
        </w:rPr>
        <w:t>Narcissus pseudonarcissus</w:t>
      </w:r>
      <w:r w:rsidR="000B56C2" w:rsidRPr="009106AE">
        <w:rPr>
          <w:b/>
        </w:rPr>
        <w:t xml:space="preserve"> field derived bulb</w:t>
      </w:r>
      <w:r w:rsidR="008C3C5B" w:rsidRPr="009106AE">
        <w:rPr>
          <w:b/>
        </w:rPr>
        <w:t xml:space="preserve"> and </w:t>
      </w:r>
      <w:r w:rsidR="00C034E5" w:rsidRPr="009106AE">
        <w:rPr>
          <w:b/>
          <w:i/>
        </w:rPr>
        <w:t>in v</w:t>
      </w:r>
      <w:r w:rsidR="008C3C5B" w:rsidRPr="009106AE">
        <w:rPr>
          <w:b/>
          <w:i/>
        </w:rPr>
        <w:t>itro</w:t>
      </w:r>
      <w:r w:rsidR="00C034E5" w:rsidRPr="009106AE">
        <w:rPr>
          <w:b/>
        </w:rPr>
        <w:t xml:space="preserve"> c</w:t>
      </w:r>
      <w:r w:rsidR="008C3C5B" w:rsidRPr="009106AE">
        <w:rPr>
          <w:b/>
        </w:rPr>
        <w:t xml:space="preserve">allus </w:t>
      </w:r>
    </w:p>
    <w:p w:rsidR="009106AE" w:rsidRDefault="009106AE" w:rsidP="009106AE">
      <w:pPr>
        <w:spacing w:line="480" w:lineRule="auto"/>
        <w:rPr>
          <w:b/>
        </w:rPr>
      </w:pPr>
      <w:proofErr w:type="gramStart"/>
      <w:r w:rsidRPr="009106AE">
        <w:rPr>
          <w:b/>
          <w:vertAlign w:val="superscript"/>
        </w:rPr>
        <w:t>a</w:t>
      </w:r>
      <w:proofErr w:type="gramEnd"/>
      <w:r w:rsidR="00990A46">
        <w:rPr>
          <w:b/>
        </w:rPr>
        <w:t xml:space="preserve"> </w:t>
      </w:r>
      <w:r w:rsidRPr="009106AE">
        <w:rPr>
          <w:b/>
        </w:rPr>
        <w:t>Aleya</w:t>
      </w:r>
      <w:r w:rsidR="00990A46">
        <w:rPr>
          <w:b/>
        </w:rPr>
        <w:t xml:space="preserve"> Ferdausi</w:t>
      </w:r>
      <w:r w:rsidRPr="009106AE">
        <w:rPr>
          <w:b/>
        </w:rPr>
        <w:t xml:space="preserve">, </w:t>
      </w:r>
      <w:r w:rsidRPr="009106AE">
        <w:rPr>
          <w:b/>
          <w:vertAlign w:val="superscript"/>
        </w:rPr>
        <w:t xml:space="preserve">b </w:t>
      </w:r>
      <w:r w:rsidRPr="009106AE">
        <w:rPr>
          <w:b/>
        </w:rPr>
        <w:t>Xianmin</w:t>
      </w:r>
      <w:r w:rsidR="00990A46">
        <w:rPr>
          <w:b/>
        </w:rPr>
        <w:t xml:space="preserve"> Chang</w:t>
      </w:r>
      <w:r w:rsidRPr="009106AE">
        <w:rPr>
          <w:b/>
        </w:rPr>
        <w:t xml:space="preserve">, </w:t>
      </w:r>
      <w:r w:rsidRPr="009106AE">
        <w:rPr>
          <w:b/>
          <w:vertAlign w:val="superscript"/>
        </w:rPr>
        <w:t xml:space="preserve">c </w:t>
      </w:r>
      <w:r w:rsidRPr="009106AE">
        <w:rPr>
          <w:b/>
        </w:rPr>
        <w:t xml:space="preserve">Meriel </w:t>
      </w:r>
      <w:r w:rsidR="00990A46">
        <w:rPr>
          <w:b/>
        </w:rPr>
        <w:t>Jones</w:t>
      </w:r>
    </w:p>
    <w:p w:rsidR="007B204C" w:rsidRDefault="007B204C" w:rsidP="009106AE">
      <w:pPr>
        <w:spacing w:line="480" w:lineRule="auto"/>
        <w:rPr>
          <w:b/>
        </w:rPr>
      </w:pPr>
      <w:r>
        <w:rPr>
          <w:b/>
        </w:rPr>
        <w:t>Given names: Aleya; Xianmin; Meriel</w:t>
      </w:r>
    </w:p>
    <w:p w:rsidR="007B204C" w:rsidRPr="009106AE" w:rsidRDefault="00826768" w:rsidP="009106AE">
      <w:pPr>
        <w:spacing w:line="480" w:lineRule="auto"/>
        <w:rPr>
          <w:b/>
        </w:rPr>
      </w:pPr>
      <w:r>
        <w:rPr>
          <w:b/>
        </w:rPr>
        <w:t>Family names: Ferdausi; Chang;</w:t>
      </w:r>
      <w:r w:rsidR="007B204C">
        <w:rPr>
          <w:b/>
        </w:rPr>
        <w:t xml:space="preserve"> Jones</w:t>
      </w:r>
    </w:p>
    <w:p w:rsidR="009106AE" w:rsidRPr="009106AE" w:rsidRDefault="009106AE" w:rsidP="009106AE">
      <w:pPr>
        <w:spacing w:line="480" w:lineRule="auto"/>
      </w:pPr>
      <w:proofErr w:type="gramStart"/>
      <w:r w:rsidRPr="009106AE">
        <w:rPr>
          <w:vertAlign w:val="superscript"/>
        </w:rPr>
        <w:t>a</w:t>
      </w:r>
      <w:proofErr w:type="gramEnd"/>
      <w:r w:rsidRPr="009106AE">
        <w:rPr>
          <w:vertAlign w:val="superscript"/>
        </w:rPr>
        <w:t xml:space="preserve"> </w:t>
      </w:r>
      <w:r w:rsidRPr="009106AE">
        <w:t>PhD, Institute of Integrative Biology, University of Liverpool, Liverpool, United Kingdom.</w:t>
      </w:r>
    </w:p>
    <w:p w:rsidR="009106AE" w:rsidRPr="009106AE" w:rsidRDefault="009106AE" w:rsidP="009106AE">
      <w:pPr>
        <w:spacing w:line="480" w:lineRule="auto"/>
      </w:pPr>
      <w:r w:rsidRPr="009106AE">
        <w:t>Present address: Associate Professor, Department of Genetics and Plant Breeding, Bangladesh Agricultural University, Mymensingh-2202, Bangladesh.</w:t>
      </w:r>
    </w:p>
    <w:p w:rsidR="009106AE" w:rsidRPr="009106AE" w:rsidRDefault="009106AE" w:rsidP="009106AE">
      <w:pPr>
        <w:spacing w:line="480" w:lineRule="auto"/>
      </w:pPr>
      <w:r w:rsidRPr="009106AE">
        <w:t>Email: aferdausi.gpb@bau.edu.bd</w:t>
      </w:r>
    </w:p>
    <w:p w:rsidR="009106AE" w:rsidRPr="009106AE" w:rsidRDefault="009106AE" w:rsidP="009106AE">
      <w:pPr>
        <w:spacing w:line="480" w:lineRule="auto"/>
      </w:pPr>
      <w:r w:rsidRPr="009106AE">
        <w:t>Tel: +8801747173836</w:t>
      </w:r>
    </w:p>
    <w:p w:rsidR="00B05096" w:rsidRPr="009106AE" w:rsidRDefault="00B84D8E" w:rsidP="009106AE">
      <w:pPr>
        <w:spacing w:line="480" w:lineRule="auto"/>
      </w:pPr>
      <w:proofErr w:type="spellStart"/>
      <w:r w:rsidRPr="009106AE">
        <w:rPr>
          <w:vertAlign w:val="superscript"/>
        </w:rPr>
        <w:t>b</w:t>
      </w:r>
      <w:r w:rsidR="00B05096" w:rsidRPr="009106AE">
        <w:t>Associate</w:t>
      </w:r>
      <w:proofErr w:type="spellEnd"/>
      <w:r w:rsidR="00B05096" w:rsidRPr="009106AE">
        <w:t xml:space="preserve"> Pro-Vice Chancellor and Senior Lecturer, Crop Production Technology, Royal Agricultural University, </w:t>
      </w:r>
      <w:proofErr w:type="spellStart"/>
      <w:r w:rsidR="00B05096" w:rsidRPr="009106AE">
        <w:t>Cirencester</w:t>
      </w:r>
      <w:proofErr w:type="spellEnd"/>
      <w:r w:rsidR="00B05096" w:rsidRPr="009106AE">
        <w:t>, Gloucest</w:t>
      </w:r>
      <w:r w:rsidR="00044853" w:rsidRPr="009106AE">
        <w:t>ershire, GL7 6JS, United Kingdom</w:t>
      </w:r>
    </w:p>
    <w:p w:rsidR="009106AE" w:rsidRPr="009106AE" w:rsidRDefault="00044853" w:rsidP="009106AE">
      <w:pPr>
        <w:spacing w:line="480" w:lineRule="auto"/>
        <w:rPr>
          <w:shd w:val="clear" w:color="auto" w:fill="FFFFFF"/>
        </w:rPr>
      </w:pPr>
      <w:r w:rsidRPr="009106AE">
        <w:t xml:space="preserve">Email: </w:t>
      </w:r>
      <w:hyperlink r:id="rId8" w:tgtFrame="_blank" w:history="1">
        <w:r w:rsidRPr="009106AE">
          <w:rPr>
            <w:rStyle w:val="Hyperlink"/>
            <w:color w:val="auto"/>
            <w:u w:val="none"/>
            <w:shd w:val="clear" w:color="auto" w:fill="FFFFFF"/>
          </w:rPr>
          <w:t>Xianmin.Chang@rau.ac.uk</w:t>
        </w:r>
      </w:hyperlink>
    </w:p>
    <w:p w:rsidR="009106AE" w:rsidRPr="009106AE" w:rsidRDefault="009106AE" w:rsidP="009106AE">
      <w:pPr>
        <w:spacing w:line="480" w:lineRule="auto"/>
        <w:rPr>
          <w:rFonts w:eastAsia="Times New Roman"/>
          <w:lang w:eastAsia="en-GB"/>
        </w:rPr>
      </w:pPr>
      <w:r w:rsidRPr="009106AE">
        <w:rPr>
          <w:rFonts w:eastAsia="Times New Roman"/>
          <w:lang w:eastAsia="en-GB"/>
        </w:rPr>
        <w:t>Tel: 01285 652531</w:t>
      </w:r>
    </w:p>
    <w:p w:rsidR="00B05096" w:rsidRPr="009106AE" w:rsidRDefault="00B84D8E" w:rsidP="009106AE">
      <w:pPr>
        <w:autoSpaceDE w:val="0"/>
        <w:autoSpaceDN w:val="0"/>
        <w:adjustRightInd w:val="0"/>
        <w:spacing w:line="480" w:lineRule="auto"/>
        <w:rPr>
          <w:rFonts w:eastAsia="Times New Roman"/>
          <w:lang w:eastAsia="en-GB"/>
        </w:rPr>
      </w:pPr>
      <w:proofErr w:type="spellStart"/>
      <w:r w:rsidRPr="009106AE">
        <w:rPr>
          <w:vertAlign w:val="superscript"/>
        </w:rPr>
        <w:t>c</w:t>
      </w:r>
      <w:r w:rsidR="00B05096" w:rsidRPr="009106AE">
        <w:t>Honorary</w:t>
      </w:r>
      <w:proofErr w:type="spellEnd"/>
      <w:r w:rsidR="00B05096" w:rsidRPr="009106AE">
        <w:t xml:space="preserve"> Senior Lecturer, Functional and Comparative Genomics, In</w:t>
      </w:r>
      <w:r w:rsidR="00EC7F44" w:rsidRPr="009106AE">
        <w:t xml:space="preserve">stitute of Integrative Biology, </w:t>
      </w:r>
      <w:r w:rsidR="00B05096" w:rsidRPr="009106AE">
        <w:rPr>
          <w:rFonts w:eastAsia="Times New Roman"/>
          <w:lang w:eastAsia="en-GB"/>
        </w:rPr>
        <w:t>Biosciences Building, Crown Street</w:t>
      </w:r>
      <w:r w:rsidR="00B05096" w:rsidRPr="009106AE">
        <w:t xml:space="preserve">, </w:t>
      </w:r>
      <w:r w:rsidR="00EC7F44" w:rsidRPr="009106AE">
        <w:rPr>
          <w:rFonts w:eastAsia="Times New Roman"/>
          <w:lang w:eastAsia="en-GB"/>
        </w:rPr>
        <w:t>University of Liverpool</w:t>
      </w:r>
      <w:r w:rsidR="00B05096" w:rsidRPr="009106AE">
        <w:t xml:space="preserve">, </w:t>
      </w:r>
      <w:r w:rsidR="00B05096" w:rsidRPr="009106AE">
        <w:rPr>
          <w:rFonts w:eastAsia="Times New Roman"/>
          <w:lang w:eastAsia="en-GB"/>
        </w:rPr>
        <w:t>Liverpool, L69 7ZB</w:t>
      </w:r>
    </w:p>
    <w:p w:rsidR="00044853" w:rsidRPr="009106AE" w:rsidRDefault="00044853" w:rsidP="009106AE">
      <w:pPr>
        <w:autoSpaceDE w:val="0"/>
        <w:autoSpaceDN w:val="0"/>
        <w:adjustRightInd w:val="0"/>
        <w:spacing w:line="480" w:lineRule="auto"/>
        <w:rPr>
          <w:rFonts w:eastAsia="Times New Roman"/>
          <w:lang w:eastAsia="en-GB"/>
        </w:rPr>
      </w:pPr>
      <w:r w:rsidRPr="009106AE">
        <w:rPr>
          <w:rFonts w:eastAsia="Times New Roman"/>
          <w:lang w:eastAsia="en-GB"/>
        </w:rPr>
        <w:t>Email:</w:t>
      </w:r>
      <w:r w:rsidRPr="009106AE">
        <w:t xml:space="preserve"> </w:t>
      </w:r>
      <w:hyperlink r:id="rId9" w:tgtFrame="_blank" w:history="1">
        <w:r w:rsidRPr="009106AE">
          <w:rPr>
            <w:rStyle w:val="Hyperlink"/>
            <w:color w:val="auto"/>
            <w:u w:val="none"/>
            <w:shd w:val="clear" w:color="auto" w:fill="FFFFFF"/>
          </w:rPr>
          <w:t>m.g.jones@liverpool.ac.uk</w:t>
        </w:r>
      </w:hyperlink>
    </w:p>
    <w:p w:rsidR="009106AE" w:rsidRPr="009106AE" w:rsidRDefault="009106AE" w:rsidP="009106AE">
      <w:pPr>
        <w:spacing w:line="480" w:lineRule="auto"/>
        <w:textAlignment w:val="baseline"/>
        <w:rPr>
          <w:rFonts w:eastAsia="Times New Roman"/>
          <w:b/>
          <w:color w:val="000000" w:themeColor="text1"/>
          <w:lang w:eastAsia="en-GB"/>
        </w:rPr>
      </w:pPr>
      <w:r w:rsidRPr="009106AE">
        <w:rPr>
          <w:rFonts w:eastAsia="Times New Roman"/>
          <w:b/>
          <w:color w:val="000000" w:themeColor="text1"/>
          <w:lang w:eastAsia="en-GB"/>
        </w:rPr>
        <w:t xml:space="preserve">Corresponding author: Aleya Ferdausi </w:t>
      </w:r>
      <w:r w:rsidRPr="009106AE">
        <w:rPr>
          <w:rFonts w:eastAsia="Times New Roman"/>
          <w:b/>
          <w:color w:val="000000" w:themeColor="text1"/>
          <w:vertAlign w:val="superscript"/>
          <w:lang w:eastAsia="en-GB"/>
        </w:rPr>
        <w:t>a</w:t>
      </w:r>
      <w:r w:rsidRPr="009106AE">
        <w:rPr>
          <w:rFonts w:eastAsia="Times New Roman"/>
          <w:b/>
          <w:color w:val="000000" w:themeColor="text1"/>
          <w:lang w:eastAsia="en-GB"/>
        </w:rPr>
        <w:t xml:space="preserve"> </w:t>
      </w:r>
    </w:p>
    <w:p w:rsidR="009106AE" w:rsidRPr="009106AE" w:rsidRDefault="009106AE" w:rsidP="009106AE">
      <w:pPr>
        <w:spacing w:line="480" w:lineRule="auto"/>
        <w:rPr>
          <w:rFonts w:eastAsia="Times New Roman"/>
          <w:lang w:eastAsia="en-GB"/>
        </w:rPr>
      </w:pPr>
      <w:r w:rsidRPr="009106AE">
        <w:rPr>
          <w:shd w:val="clear" w:color="auto" w:fill="FFFFFF"/>
        </w:rPr>
        <w:t>Declarations of interest: none</w:t>
      </w:r>
    </w:p>
    <w:p w:rsidR="009106AE" w:rsidRPr="008022B3" w:rsidRDefault="009106AE" w:rsidP="00826768">
      <w:pPr>
        <w:autoSpaceDE w:val="0"/>
        <w:autoSpaceDN w:val="0"/>
        <w:adjustRightInd w:val="0"/>
        <w:spacing w:line="480" w:lineRule="auto"/>
        <w:rPr>
          <w:b/>
          <w:sz w:val="20"/>
          <w:szCs w:val="20"/>
        </w:rPr>
      </w:pPr>
    </w:p>
    <w:p w:rsidR="00B05096" w:rsidRPr="008022B3" w:rsidRDefault="00B05096" w:rsidP="00826768">
      <w:pPr>
        <w:spacing w:line="480" w:lineRule="auto"/>
        <w:rPr>
          <w:sz w:val="20"/>
          <w:szCs w:val="20"/>
        </w:rPr>
      </w:pPr>
    </w:p>
    <w:p w:rsidR="00B05096" w:rsidRPr="008022B3" w:rsidRDefault="00B05096" w:rsidP="00826768">
      <w:pPr>
        <w:spacing w:line="480" w:lineRule="auto"/>
        <w:rPr>
          <w:b/>
          <w:sz w:val="20"/>
          <w:szCs w:val="20"/>
        </w:rPr>
      </w:pPr>
    </w:p>
    <w:p w:rsidR="00034DA0" w:rsidRPr="008022B3" w:rsidRDefault="00034DA0" w:rsidP="00826768">
      <w:pPr>
        <w:spacing w:line="480" w:lineRule="auto"/>
        <w:rPr>
          <w:b/>
          <w:sz w:val="20"/>
          <w:szCs w:val="20"/>
        </w:rPr>
      </w:pPr>
    </w:p>
    <w:p w:rsidR="00034DA0" w:rsidRPr="008022B3" w:rsidRDefault="00034DA0" w:rsidP="00826768">
      <w:pPr>
        <w:spacing w:line="480" w:lineRule="auto"/>
        <w:rPr>
          <w:b/>
          <w:sz w:val="20"/>
          <w:szCs w:val="20"/>
        </w:rPr>
      </w:pPr>
    </w:p>
    <w:p w:rsidR="00034DA0" w:rsidRPr="008022B3" w:rsidRDefault="00034DA0" w:rsidP="00826768">
      <w:pPr>
        <w:spacing w:line="480" w:lineRule="auto"/>
        <w:rPr>
          <w:b/>
          <w:sz w:val="20"/>
          <w:szCs w:val="20"/>
        </w:rPr>
      </w:pPr>
    </w:p>
    <w:p w:rsidR="00034DA0" w:rsidRPr="008022B3" w:rsidRDefault="00034DA0" w:rsidP="00826768">
      <w:pPr>
        <w:spacing w:line="480" w:lineRule="auto"/>
        <w:rPr>
          <w:b/>
          <w:sz w:val="20"/>
          <w:szCs w:val="20"/>
        </w:rPr>
      </w:pPr>
    </w:p>
    <w:p w:rsidR="00C509FC" w:rsidRDefault="00C509FC" w:rsidP="00826768">
      <w:pPr>
        <w:spacing w:line="480" w:lineRule="auto"/>
        <w:rPr>
          <w:b/>
        </w:rPr>
      </w:pPr>
    </w:p>
    <w:p w:rsidR="008C3C5B" w:rsidRPr="009106AE" w:rsidRDefault="009106AE" w:rsidP="009106AE">
      <w:pPr>
        <w:spacing w:line="480" w:lineRule="auto"/>
        <w:rPr>
          <w:b/>
        </w:rPr>
      </w:pPr>
      <w:r w:rsidRPr="009106AE">
        <w:rPr>
          <w:b/>
        </w:rPr>
        <w:lastRenderedPageBreak/>
        <w:t>ABSTRACT</w:t>
      </w:r>
    </w:p>
    <w:p w:rsidR="00826768" w:rsidRPr="00AE7341" w:rsidRDefault="003A129C" w:rsidP="009106AE">
      <w:pPr>
        <w:spacing w:line="480" w:lineRule="auto"/>
        <w:rPr>
          <w:shd w:val="clear" w:color="auto" w:fill="FFFFFF"/>
        </w:rPr>
      </w:pPr>
      <w:r w:rsidRPr="009106AE">
        <w:t>The</w:t>
      </w:r>
      <w:r w:rsidR="008C3C5B" w:rsidRPr="009106AE">
        <w:t xml:space="preserve"> </w:t>
      </w:r>
      <w:r w:rsidR="00D462FE" w:rsidRPr="009106AE">
        <w:t xml:space="preserve">Amaryllidaceae </w:t>
      </w:r>
      <w:r w:rsidR="008C3C5B" w:rsidRPr="009106AE">
        <w:t xml:space="preserve">genus </w:t>
      </w:r>
      <w:r w:rsidR="008C3C5B" w:rsidRPr="009106AE">
        <w:rPr>
          <w:i/>
        </w:rPr>
        <w:t>Narcissus</w:t>
      </w:r>
      <w:r w:rsidR="008C3C5B" w:rsidRPr="009106AE">
        <w:t xml:space="preserve"> contains </w:t>
      </w:r>
      <w:r w:rsidR="001F1E8B" w:rsidRPr="009106AE">
        <w:t xml:space="preserve">diversified </w:t>
      </w:r>
      <w:r w:rsidR="008C3C5B" w:rsidRPr="009106AE">
        <w:t xml:space="preserve">secondary </w:t>
      </w:r>
      <w:r w:rsidR="00821693" w:rsidRPr="009106AE">
        <w:t xml:space="preserve">metabolites, </w:t>
      </w:r>
      <w:r w:rsidR="00821693" w:rsidRPr="00AE7341">
        <w:rPr>
          <w:color w:val="FF0000"/>
        </w:rPr>
        <w:t>which</w:t>
      </w:r>
      <w:r w:rsidR="008C3C5B" w:rsidRPr="00AE7341">
        <w:rPr>
          <w:color w:val="FF0000"/>
        </w:rPr>
        <w:t xml:space="preserve"> are important </w:t>
      </w:r>
      <w:r w:rsidR="00AE7341" w:rsidRPr="00AE7341">
        <w:rPr>
          <w:color w:val="FF0000"/>
          <w:shd w:val="clear" w:color="auto" w:fill="FFFFFF"/>
        </w:rPr>
        <w:t>sources of biologically active</w:t>
      </w:r>
      <w:r w:rsidR="0023317F" w:rsidRPr="00AE7341">
        <w:rPr>
          <w:color w:val="FF0000"/>
          <w:shd w:val="clear" w:color="auto" w:fill="FFFFFF"/>
        </w:rPr>
        <w:t xml:space="preserve"> </w:t>
      </w:r>
      <w:r w:rsidR="00C34843" w:rsidRPr="00AE7341">
        <w:rPr>
          <w:color w:val="FF0000"/>
          <w:shd w:val="clear" w:color="auto" w:fill="FFFFFF"/>
        </w:rPr>
        <w:t>alkaloids</w:t>
      </w:r>
      <w:r w:rsidR="0023317F" w:rsidRPr="00AE7341">
        <w:rPr>
          <w:color w:val="FF0000"/>
          <w:shd w:val="clear" w:color="auto" w:fill="FFFFFF"/>
        </w:rPr>
        <w:t xml:space="preserve">. </w:t>
      </w:r>
      <w:r w:rsidR="008C3C5B" w:rsidRPr="009106AE">
        <w:rPr>
          <w:shd w:val="clear" w:color="auto" w:fill="FFFFFF"/>
        </w:rPr>
        <w:t xml:space="preserve">The biochemical pathways for </w:t>
      </w:r>
      <w:r w:rsidR="00CE2971" w:rsidRPr="009106AE">
        <w:rPr>
          <w:shd w:val="clear" w:color="auto" w:fill="FFFFFF"/>
        </w:rPr>
        <w:t>secondary metabolite</w:t>
      </w:r>
      <w:r w:rsidR="008C3C5B" w:rsidRPr="009106AE">
        <w:rPr>
          <w:shd w:val="clear" w:color="auto" w:fill="FFFFFF"/>
        </w:rPr>
        <w:t xml:space="preserve"> pro</w:t>
      </w:r>
      <w:r w:rsidR="00CE2971" w:rsidRPr="009106AE">
        <w:rPr>
          <w:shd w:val="clear" w:color="auto" w:fill="FFFFFF"/>
        </w:rPr>
        <w:t>duction</w:t>
      </w:r>
      <w:r w:rsidR="008C3C5B" w:rsidRPr="009106AE">
        <w:rPr>
          <w:shd w:val="clear" w:color="auto" w:fill="FFFFFF"/>
        </w:rPr>
        <w:t xml:space="preserve"> require primary metabolites to undergo a series of modifications catalyzed</w:t>
      </w:r>
      <w:r w:rsidR="00033F3C" w:rsidRPr="009106AE">
        <w:rPr>
          <w:shd w:val="clear" w:color="auto" w:fill="FFFFFF"/>
        </w:rPr>
        <w:t xml:space="preserve"> by several enzymes</w:t>
      </w:r>
      <w:r w:rsidR="007447E9" w:rsidRPr="009106AE">
        <w:rPr>
          <w:shd w:val="clear" w:color="auto" w:fill="FFFFFF"/>
        </w:rPr>
        <w:t xml:space="preserve"> but the knowledge on their biosynthesis is very limited</w:t>
      </w:r>
      <w:r w:rsidR="00033F3C" w:rsidRPr="009106AE">
        <w:rPr>
          <w:shd w:val="clear" w:color="auto" w:fill="FFFFFF"/>
        </w:rPr>
        <w:t xml:space="preserve">. </w:t>
      </w:r>
      <w:r w:rsidR="00826768" w:rsidRPr="00AE7341">
        <w:rPr>
          <w:shd w:val="clear" w:color="auto" w:fill="FFFFFF"/>
        </w:rPr>
        <w:t xml:space="preserve">This study is undertaken to reveal the differential expression of transcripts related to secondary metabolites biosynthesis in </w:t>
      </w:r>
      <w:r w:rsidR="00826768" w:rsidRPr="00AE7341">
        <w:rPr>
          <w:i/>
          <w:shd w:val="clear" w:color="auto" w:fill="FFFFFF"/>
        </w:rPr>
        <w:t>Narcissus</w:t>
      </w:r>
      <w:r w:rsidR="00826768" w:rsidRPr="00AE7341">
        <w:rPr>
          <w:shd w:val="clear" w:color="auto" w:fill="FFFFFF"/>
        </w:rPr>
        <w:t xml:space="preserve"> basal plate and </w:t>
      </w:r>
      <w:r w:rsidR="00826768" w:rsidRPr="00AE7341">
        <w:rPr>
          <w:i/>
          <w:shd w:val="clear" w:color="auto" w:fill="FFFFFF"/>
        </w:rPr>
        <w:t>in vitro</w:t>
      </w:r>
      <w:r w:rsidR="00826768" w:rsidRPr="00AE7341">
        <w:rPr>
          <w:shd w:val="clear" w:color="auto" w:fill="FFFFFF"/>
        </w:rPr>
        <w:t xml:space="preserve"> callus. </w:t>
      </w:r>
    </w:p>
    <w:p w:rsidR="008C3C5B" w:rsidRPr="009106AE" w:rsidRDefault="007915DD" w:rsidP="00395F99">
      <w:pPr>
        <w:tabs>
          <w:tab w:val="left" w:pos="8505"/>
        </w:tabs>
        <w:spacing w:line="480" w:lineRule="auto"/>
      </w:pPr>
      <w:r w:rsidRPr="009106AE">
        <w:t>RNA-seq</w:t>
      </w:r>
      <w:r w:rsidR="00821693" w:rsidRPr="009106AE">
        <w:t xml:space="preserve"> </w:t>
      </w:r>
      <w:r w:rsidR="008C3C5B" w:rsidRPr="009106AE">
        <w:t>analysis</w:t>
      </w:r>
      <w:r w:rsidR="00821693" w:rsidRPr="009106AE">
        <w:t xml:space="preserve"> </w:t>
      </w:r>
      <w:r w:rsidR="008C3C5B" w:rsidRPr="009106AE">
        <w:t xml:space="preserve">of </w:t>
      </w:r>
      <w:r w:rsidR="00821693" w:rsidRPr="009106AE">
        <w:rPr>
          <w:i/>
        </w:rPr>
        <w:t>Narcissus</w:t>
      </w:r>
      <w:r w:rsidR="00B958EE" w:rsidRPr="009106AE">
        <w:t xml:space="preserve"> </w:t>
      </w:r>
      <w:r w:rsidR="003A129C" w:rsidRPr="009106AE">
        <w:t>basal plate</w:t>
      </w:r>
      <w:r w:rsidR="00C456B5" w:rsidRPr="009106AE">
        <w:t xml:space="preserve"> (field)</w:t>
      </w:r>
      <w:r w:rsidR="005857E0" w:rsidRPr="009106AE">
        <w:t xml:space="preserve"> </w:t>
      </w:r>
      <w:r w:rsidR="008C3C5B" w:rsidRPr="009106AE">
        <w:t xml:space="preserve">and </w:t>
      </w:r>
      <w:r w:rsidR="008C3C5B" w:rsidRPr="009106AE">
        <w:rPr>
          <w:i/>
        </w:rPr>
        <w:t>in vitro</w:t>
      </w:r>
      <w:r w:rsidR="00205E1A" w:rsidRPr="009106AE">
        <w:t xml:space="preserve"> callus</w:t>
      </w:r>
      <w:r w:rsidR="007447E9" w:rsidRPr="009106AE">
        <w:t xml:space="preserve"> </w:t>
      </w:r>
      <w:r w:rsidR="00826768">
        <w:t xml:space="preserve">ensued </w:t>
      </w:r>
      <w:r w:rsidR="00F24C1D" w:rsidRPr="009106AE">
        <w:t>t</w:t>
      </w:r>
      <w:r w:rsidR="00205E1A" w:rsidRPr="009106AE">
        <w:t xml:space="preserve">otal </w:t>
      </w:r>
      <w:r w:rsidR="008C3C5B" w:rsidRPr="009106AE">
        <w:t>2153 differentially express</w:t>
      </w:r>
      <w:r w:rsidR="00205E1A" w:rsidRPr="009106AE">
        <w:t>ed transcripts and 83.46</w:t>
      </w:r>
      <w:r w:rsidR="003A129C" w:rsidRPr="009106AE">
        <w:t>% of those were annotated. The largest</w:t>
      </w:r>
      <w:r w:rsidR="00F949D7" w:rsidRPr="009106AE">
        <w:t xml:space="preserve"> </w:t>
      </w:r>
      <w:r w:rsidR="00F24C1D" w:rsidRPr="009106AE">
        <w:t xml:space="preserve">gene group </w:t>
      </w:r>
      <w:r w:rsidR="00F949D7" w:rsidRPr="009106AE">
        <w:t>was</w:t>
      </w:r>
      <w:r w:rsidR="00B958EE" w:rsidRPr="009106AE">
        <w:t xml:space="preserve"> designated as</w:t>
      </w:r>
      <w:r w:rsidR="00F949D7" w:rsidRPr="009106AE">
        <w:t xml:space="preserve"> </w:t>
      </w:r>
      <w:r w:rsidR="0084588E" w:rsidRPr="009106AE">
        <w:t>uncharacterized</w:t>
      </w:r>
      <w:r w:rsidR="00F949D7" w:rsidRPr="009106AE">
        <w:t xml:space="preserve"> proteins (10.2</w:t>
      </w:r>
      <w:r w:rsidR="00205E1A" w:rsidRPr="009106AE">
        <w:t xml:space="preserve">4%) and the second largest </w:t>
      </w:r>
      <w:r w:rsidR="00F949D7" w:rsidRPr="009106AE">
        <w:t>group was genes responsible for secondar</w:t>
      </w:r>
      <w:r w:rsidR="00033F3C" w:rsidRPr="009106AE">
        <w:t xml:space="preserve">y metabolite production (8.88%). </w:t>
      </w:r>
      <w:r w:rsidR="00205E1A" w:rsidRPr="009106AE">
        <w:t>T</w:t>
      </w:r>
      <w:r w:rsidR="0023317F" w:rsidRPr="009106AE">
        <w:t>he</w:t>
      </w:r>
      <w:r w:rsidR="008C3C5B" w:rsidRPr="009106AE">
        <w:t xml:space="preserve"> genes involved in the biosynthesis of alkaloids</w:t>
      </w:r>
      <w:r w:rsidR="00F24C1D" w:rsidRPr="009106AE">
        <w:t>;</w:t>
      </w:r>
      <w:r w:rsidR="003A129C" w:rsidRPr="009106AE">
        <w:t xml:space="preserve"> </w:t>
      </w:r>
      <w:r w:rsidR="008C3C5B" w:rsidRPr="009106AE">
        <w:t xml:space="preserve">cytochrome </w:t>
      </w:r>
      <w:r w:rsidR="008C3C5B" w:rsidRPr="009106AE">
        <w:rPr>
          <w:i/>
        </w:rPr>
        <w:t>P450s</w:t>
      </w:r>
      <w:r w:rsidR="008C3C5B" w:rsidRPr="009106AE">
        <w:t>, O-methyltransferase</w:t>
      </w:r>
      <w:r w:rsidR="00205E1A" w:rsidRPr="009106AE">
        <w:t>s</w:t>
      </w:r>
      <w:r w:rsidR="008C3C5B" w:rsidRPr="009106AE">
        <w:t xml:space="preserve"> (</w:t>
      </w:r>
      <w:r w:rsidR="008C3C5B" w:rsidRPr="009106AE">
        <w:rPr>
          <w:i/>
        </w:rPr>
        <w:t>OMTs)</w:t>
      </w:r>
      <w:r w:rsidR="008C3C5B" w:rsidRPr="009106AE">
        <w:t xml:space="preserve">, </w:t>
      </w:r>
      <w:r w:rsidR="008C3C5B" w:rsidRPr="009106AE">
        <w:rPr>
          <w:i/>
        </w:rPr>
        <w:t>NADP/NADPH</w:t>
      </w:r>
      <w:r w:rsidR="008C3C5B" w:rsidRPr="009106AE">
        <w:t xml:space="preserve"> dehydrogenases or reductases, </w:t>
      </w:r>
      <w:r w:rsidR="008C3C5B" w:rsidRPr="009106AE">
        <w:rPr>
          <w:i/>
        </w:rPr>
        <w:t>SAM-</w:t>
      </w:r>
      <w:r w:rsidR="008C3C5B" w:rsidRPr="009106AE">
        <w:t xml:space="preserve">synthetases or decarboxylases, </w:t>
      </w:r>
      <w:r w:rsidR="008C3C5B" w:rsidRPr="009106AE">
        <w:rPr>
          <w:rFonts w:eastAsia="Times New Roman"/>
        </w:rPr>
        <w:t xml:space="preserve">3-ketoacyl-CoA, acyl-CoA, cinnamoyl-CoA, cinnamate 4-hydroxylase, alcohol dehydrogenase, caffeic acid, </w:t>
      </w:r>
      <w:r w:rsidR="008C3C5B" w:rsidRPr="009106AE">
        <w:rPr>
          <w:i/>
        </w:rPr>
        <w:t>N</w:t>
      </w:r>
      <w:r w:rsidR="008C3C5B" w:rsidRPr="009106AE">
        <w:t xml:space="preserve">-methyltransferase, and </w:t>
      </w:r>
      <w:r w:rsidR="008C3C5B" w:rsidRPr="009106AE">
        <w:rPr>
          <w:i/>
        </w:rPr>
        <w:t>NADPH</w:t>
      </w:r>
      <w:r w:rsidR="008C3C5B" w:rsidRPr="009106AE">
        <w:t xml:space="preserve">-cytochrome </w:t>
      </w:r>
      <w:r w:rsidR="008C3C5B" w:rsidRPr="009106AE">
        <w:rPr>
          <w:i/>
        </w:rPr>
        <w:t>P450s</w:t>
      </w:r>
      <w:r w:rsidR="00F24C1D" w:rsidRPr="009106AE">
        <w:t xml:space="preserve"> were present in both basal plate and callus.</w:t>
      </w:r>
      <w:r w:rsidR="008C3C5B" w:rsidRPr="009106AE">
        <w:t xml:space="preserve"> However, cytochrome P450s</w:t>
      </w:r>
      <w:r w:rsidR="00887832">
        <w:t>,</w:t>
      </w:r>
      <w:r w:rsidR="008C3C5B" w:rsidRPr="009106AE">
        <w:t xml:space="preserve"> and </w:t>
      </w:r>
      <w:r w:rsidR="008C3C5B" w:rsidRPr="009106AE">
        <w:rPr>
          <w:i/>
        </w:rPr>
        <w:t>OMTs</w:t>
      </w:r>
      <w:r w:rsidR="008C3C5B" w:rsidRPr="009106AE">
        <w:t xml:space="preserve"> </w:t>
      </w:r>
      <w:r w:rsidR="00B958EE" w:rsidRPr="009106AE">
        <w:t>which are responsible for regulating</w:t>
      </w:r>
      <w:r w:rsidR="008C3C5B" w:rsidRPr="009106AE">
        <w:t xml:space="preserve"> t</w:t>
      </w:r>
      <w:r w:rsidR="003A129C" w:rsidRPr="009106AE">
        <w:t>he later stage of</w:t>
      </w:r>
      <w:r w:rsidR="008C3C5B" w:rsidRPr="009106AE">
        <w:t xml:space="preserve"> alkaloids biosynthesis were mainly </w:t>
      </w:r>
      <w:r w:rsidR="00EC6204" w:rsidRPr="009106AE">
        <w:t>up-</w:t>
      </w:r>
      <w:r w:rsidR="00205E1A" w:rsidRPr="009106AE">
        <w:t>regulated</w:t>
      </w:r>
      <w:r w:rsidR="008C3C5B" w:rsidRPr="009106AE">
        <w:t xml:space="preserve"> in field samples. Whereas, the enzymes involved in ini</w:t>
      </w:r>
      <w:r w:rsidR="00F24C1D" w:rsidRPr="009106AE">
        <w:t xml:space="preserve">tial biosynthetic pathways, </w:t>
      </w:r>
      <w:r w:rsidR="008C3C5B" w:rsidRPr="009106AE">
        <w:t>fructose biphosphate adolase</w:t>
      </w:r>
      <w:r w:rsidR="006720F1">
        <w:t xml:space="preserve"> (FBA)</w:t>
      </w:r>
      <w:r w:rsidR="008C3C5B" w:rsidRPr="009106AE">
        <w:t>, aminotransferases, dehydrogenases, hydroxyl methyl glutarate</w:t>
      </w:r>
      <w:r w:rsidR="006720F1">
        <w:t xml:space="preserve"> (HMT)</w:t>
      </w:r>
      <w:r w:rsidR="00887832">
        <w:t>,</w:t>
      </w:r>
      <w:r w:rsidR="008C3C5B" w:rsidRPr="009106AE">
        <w:t xml:space="preserve"> and glutamate synthase</w:t>
      </w:r>
      <w:r w:rsidR="006720F1">
        <w:t xml:space="preserve"> (GS)</w:t>
      </w:r>
      <w:r w:rsidR="008C3C5B" w:rsidRPr="009106AE">
        <w:t xml:space="preserve"> leading to the biosynthesis of precursors</w:t>
      </w:r>
      <w:r w:rsidR="00F24C1D" w:rsidRPr="009106AE">
        <w:t xml:space="preserve"> of secondary metabolites</w:t>
      </w:r>
      <w:r w:rsidR="008C3C5B" w:rsidRPr="009106AE">
        <w:t>; tyrosine, phenylalanine</w:t>
      </w:r>
      <w:r w:rsidR="00887832">
        <w:t>,</w:t>
      </w:r>
      <w:r w:rsidR="008C3C5B" w:rsidRPr="009106AE">
        <w:t xml:space="preserve"> and tryptophan were </w:t>
      </w:r>
      <w:r w:rsidR="00EC6204" w:rsidRPr="009106AE">
        <w:t>up-</w:t>
      </w:r>
      <w:r w:rsidR="00205E1A" w:rsidRPr="009106AE">
        <w:t>regulated</w:t>
      </w:r>
      <w:r w:rsidR="008C3C5B" w:rsidRPr="009106AE">
        <w:t xml:space="preserve"> in callus. </w:t>
      </w:r>
      <w:r w:rsidR="00A5162B" w:rsidRPr="009106AE">
        <w:t xml:space="preserve">Furthermore, </w:t>
      </w:r>
      <w:r w:rsidR="009C4544" w:rsidRPr="009106AE">
        <w:t xml:space="preserve">Gene Ontology (GO) annotation </w:t>
      </w:r>
      <w:r w:rsidR="00B958EE" w:rsidRPr="009106AE">
        <w:t xml:space="preserve">of the transcripts </w:t>
      </w:r>
      <w:r w:rsidR="009C4544" w:rsidRPr="009106AE">
        <w:t xml:space="preserve">and associated Kyoto Encyclopedia of Genes and Genomes (KEGG) and Plant </w:t>
      </w:r>
      <w:r w:rsidR="00A5162B" w:rsidRPr="009106AE">
        <w:t xml:space="preserve">Reactome pathway maps were </w:t>
      </w:r>
      <w:r w:rsidR="009C4544" w:rsidRPr="009106AE">
        <w:t xml:space="preserve">postulated. </w:t>
      </w:r>
      <w:r w:rsidR="002D071E" w:rsidRPr="009106AE">
        <w:t>This</w:t>
      </w:r>
      <w:r w:rsidR="008C3C5B" w:rsidRPr="009106AE">
        <w:t xml:space="preserve"> knowledge on probable genes</w:t>
      </w:r>
      <w:r w:rsidR="00EC6204" w:rsidRPr="009106AE">
        <w:t xml:space="preserve"> or enzymes</w:t>
      </w:r>
      <w:r w:rsidR="008C3C5B" w:rsidRPr="009106AE">
        <w:t xml:space="preserve"> invo</w:t>
      </w:r>
      <w:r w:rsidR="000E7091">
        <w:t>lved in secondary metabolism,</w:t>
      </w:r>
      <w:r w:rsidR="008C3C5B" w:rsidRPr="009106AE">
        <w:t xml:space="preserve"> their</w:t>
      </w:r>
      <w:r w:rsidR="00821693" w:rsidRPr="009106AE">
        <w:t xml:space="preserve"> </w:t>
      </w:r>
      <w:r w:rsidR="000E7091">
        <w:t xml:space="preserve">networking pathway and molecular </w:t>
      </w:r>
      <w:r w:rsidR="00821693" w:rsidRPr="009106AE">
        <w:t>regulation in</w:t>
      </w:r>
      <w:r w:rsidR="005857E0" w:rsidRPr="009106AE">
        <w:t xml:space="preserve"> field and </w:t>
      </w:r>
      <w:r w:rsidR="005857E0" w:rsidRPr="009106AE">
        <w:rPr>
          <w:i/>
        </w:rPr>
        <w:t>in vitro</w:t>
      </w:r>
      <w:r w:rsidR="00F24C1D" w:rsidRPr="009106AE">
        <w:t xml:space="preserve"> callus</w:t>
      </w:r>
      <w:r w:rsidR="00821693" w:rsidRPr="009106AE">
        <w:t xml:space="preserve"> would</w:t>
      </w:r>
      <w:r w:rsidR="008C3C5B" w:rsidRPr="009106AE">
        <w:t xml:space="preserve"> provide </w:t>
      </w:r>
      <w:r w:rsidR="000E7091">
        <w:t xml:space="preserve">a deep </w:t>
      </w:r>
      <w:r w:rsidR="008C3C5B" w:rsidRPr="009106AE">
        <w:t xml:space="preserve">insight into the </w:t>
      </w:r>
      <w:r w:rsidR="008C3C5B" w:rsidRPr="009106AE">
        <w:rPr>
          <w:i/>
        </w:rPr>
        <w:t>Narcissus</w:t>
      </w:r>
      <w:r w:rsidR="008C3C5B" w:rsidRPr="009106AE">
        <w:t xml:space="preserve"> p</w:t>
      </w:r>
      <w:r w:rsidR="00821693" w:rsidRPr="009106AE">
        <w:t>lant biology related to valuable metabolite</w:t>
      </w:r>
      <w:r w:rsidR="008C3C5B" w:rsidRPr="009106AE">
        <w:t xml:space="preserve"> production</w:t>
      </w:r>
      <w:r w:rsidR="00033F3C" w:rsidRPr="009106AE">
        <w:t>.</w:t>
      </w:r>
    </w:p>
    <w:p w:rsidR="00C509FC" w:rsidRPr="009106AE" w:rsidRDefault="001B6F4A" w:rsidP="009106AE">
      <w:pPr>
        <w:spacing w:line="480" w:lineRule="auto"/>
      </w:pPr>
      <w:r w:rsidRPr="009106AE">
        <w:rPr>
          <w:b/>
        </w:rPr>
        <w:t>Keywords:</w:t>
      </w:r>
      <w:r w:rsidRPr="009106AE">
        <w:t xml:space="preserve"> </w:t>
      </w:r>
      <w:r w:rsidRPr="009106AE">
        <w:rPr>
          <w:i/>
        </w:rPr>
        <w:t>Narcissus</w:t>
      </w:r>
      <w:r w:rsidRPr="009106AE">
        <w:t>, RNA-Seq, secondary metabol</w:t>
      </w:r>
      <w:r w:rsidR="009106AE">
        <w:t>ism, alkaloids, gene expression</w:t>
      </w:r>
    </w:p>
    <w:p w:rsidR="00547E46" w:rsidRPr="00FB26F9" w:rsidRDefault="004F390F" w:rsidP="009106AE">
      <w:pPr>
        <w:pStyle w:val="ListParagraph"/>
        <w:numPr>
          <w:ilvl w:val="0"/>
          <w:numId w:val="8"/>
        </w:numPr>
        <w:tabs>
          <w:tab w:val="left" w:pos="284"/>
        </w:tabs>
        <w:spacing w:after="0" w:line="480" w:lineRule="auto"/>
        <w:ind w:left="284" w:hanging="284"/>
        <w:rPr>
          <w:color w:val="FF0000"/>
          <w:sz w:val="24"/>
          <w:szCs w:val="24"/>
        </w:rPr>
      </w:pPr>
      <w:r w:rsidRPr="00FB26F9">
        <w:rPr>
          <w:b/>
          <w:color w:val="FF0000"/>
          <w:sz w:val="24"/>
          <w:szCs w:val="24"/>
        </w:rPr>
        <w:lastRenderedPageBreak/>
        <w:t>I</w:t>
      </w:r>
      <w:r w:rsidR="00E566D8" w:rsidRPr="00FB26F9">
        <w:rPr>
          <w:b/>
          <w:color w:val="FF0000"/>
          <w:sz w:val="24"/>
          <w:szCs w:val="24"/>
        </w:rPr>
        <w:t>ntroduction</w:t>
      </w:r>
    </w:p>
    <w:p w:rsidR="000D1FF6" w:rsidRPr="00FB26F9" w:rsidRDefault="00DF4116" w:rsidP="009106AE">
      <w:pPr>
        <w:spacing w:line="480" w:lineRule="auto"/>
        <w:rPr>
          <w:color w:val="FF0000"/>
          <w:shd w:val="clear" w:color="auto" w:fill="FFFFFF"/>
        </w:rPr>
      </w:pPr>
      <w:r w:rsidRPr="00FB26F9">
        <w:rPr>
          <w:color w:val="FF0000"/>
        </w:rPr>
        <w:t>A</w:t>
      </w:r>
      <w:r w:rsidR="00665FB1" w:rsidRPr="00FB26F9">
        <w:rPr>
          <w:color w:val="FF0000"/>
        </w:rPr>
        <w:t xml:space="preserve"> </w:t>
      </w:r>
      <w:r w:rsidRPr="00FB26F9">
        <w:rPr>
          <w:color w:val="FF0000"/>
        </w:rPr>
        <w:t>massive</w:t>
      </w:r>
      <w:r w:rsidR="00665FB1" w:rsidRPr="00FB26F9">
        <w:rPr>
          <w:color w:val="FF0000"/>
        </w:rPr>
        <w:t xml:space="preserve"> diversity of natural products or metabolites is produced by plants</w:t>
      </w:r>
      <w:r w:rsidR="00AB6975" w:rsidRPr="00FB26F9">
        <w:rPr>
          <w:color w:val="FF0000"/>
        </w:rPr>
        <w:t xml:space="preserve"> which possess wide-ranging biological </w:t>
      </w:r>
      <w:r w:rsidRPr="00FB26F9">
        <w:rPr>
          <w:color w:val="FF0000"/>
        </w:rPr>
        <w:t xml:space="preserve">and metabolic </w:t>
      </w:r>
      <w:r w:rsidR="00AB6975" w:rsidRPr="00FB26F9">
        <w:rPr>
          <w:color w:val="FF0000"/>
        </w:rPr>
        <w:t>activities (</w:t>
      </w:r>
      <w:r w:rsidR="00E566D8" w:rsidRPr="00FB26F9">
        <w:rPr>
          <w:color w:val="FF0000"/>
        </w:rPr>
        <w:t xml:space="preserve">Hotchandani </w:t>
      </w:r>
      <w:r w:rsidR="00D2595E" w:rsidRPr="00FB26F9">
        <w:rPr>
          <w:color w:val="FF0000"/>
        </w:rPr>
        <w:t>et al.,</w:t>
      </w:r>
      <w:r w:rsidR="00AB6975" w:rsidRPr="00FB26F9">
        <w:rPr>
          <w:color w:val="FF0000"/>
        </w:rPr>
        <w:t xml:space="preserve"> 2019)</w:t>
      </w:r>
      <w:r w:rsidR="00665FB1" w:rsidRPr="00FB26F9">
        <w:rPr>
          <w:color w:val="FF0000"/>
          <w:shd w:val="clear" w:color="auto" w:fill="FFFFFF"/>
        </w:rPr>
        <w:t xml:space="preserve">. The </w:t>
      </w:r>
      <w:r w:rsidR="005A7AC7" w:rsidRPr="00FB26F9">
        <w:rPr>
          <w:color w:val="FF0000"/>
          <w:shd w:val="clear" w:color="auto" w:fill="FFFFFF"/>
        </w:rPr>
        <w:t>chemical</w:t>
      </w:r>
      <w:r w:rsidR="00C52F96" w:rsidRPr="00FB26F9">
        <w:rPr>
          <w:color w:val="FF0000"/>
          <w:shd w:val="clear" w:color="auto" w:fill="FFFFFF"/>
        </w:rPr>
        <w:t xml:space="preserve"> compounds extracted from</w:t>
      </w:r>
      <w:r w:rsidR="005A7AC7" w:rsidRPr="00FB26F9">
        <w:rPr>
          <w:color w:val="FF0000"/>
          <w:shd w:val="clear" w:color="auto" w:fill="FFFFFF"/>
        </w:rPr>
        <w:t xml:space="preserve"> plants are used for the semi-synthetic synthesis of pharmaceuticals where the starting materials, extracted from plants, are modified chemically to obtain better stability, specificity or action (</w:t>
      </w:r>
      <w:r w:rsidR="00A44962" w:rsidRPr="00FB26F9">
        <w:rPr>
          <w:color w:val="FF0000"/>
          <w:shd w:val="clear" w:color="auto" w:fill="FFFFFF"/>
        </w:rPr>
        <w:t>Oksman-Caldentey and Inze</w:t>
      </w:r>
      <w:r w:rsidR="00C509FC" w:rsidRPr="00FB26F9">
        <w:rPr>
          <w:color w:val="FF0000"/>
          <w:shd w:val="clear" w:color="auto" w:fill="FFFFFF"/>
        </w:rPr>
        <w:t>,</w:t>
      </w:r>
      <w:r w:rsidR="005A7AC7" w:rsidRPr="00FB26F9">
        <w:rPr>
          <w:color w:val="FF0000"/>
          <w:shd w:val="clear" w:color="auto" w:fill="FFFFFF"/>
        </w:rPr>
        <w:t xml:space="preserve"> 2004). </w:t>
      </w:r>
      <w:r w:rsidR="005F67CB" w:rsidRPr="00FB26F9">
        <w:rPr>
          <w:color w:val="FF0000"/>
        </w:rPr>
        <w:t xml:space="preserve">The Amaryllidaceae genus </w:t>
      </w:r>
      <w:r w:rsidR="000D1FF6" w:rsidRPr="00FB26F9">
        <w:rPr>
          <w:i/>
          <w:color w:val="FF0000"/>
        </w:rPr>
        <w:t>Narcissus</w:t>
      </w:r>
      <w:r w:rsidR="000D1FF6" w:rsidRPr="00FB26F9">
        <w:rPr>
          <w:color w:val="FF0000"/>
        </w:rPr>
        <w:t xml:space="preserve"> </w:t>
      </w:r>
      <w:r w:rsidR="00CE7482" w:rsidRPr="00FB26F9">
        <w:rPr>
          <w:color w:val="FF0000"/>
        </w:rPr>
        <w:t>owns</w:t>
      </w:r>
      <w:r w:rsidR="005F67CB" w:rsidRPr="00FB26F9">
        <w:rPr>
          <w:color w:val="FF0000"/>
        </w:rPr>
        <w:t xml:space="preserve"> a vast range of </w:t>
      </w:r>
      <w:r w:rsidR="000D1FF6" w:rsidRPr="00FB26F9">
        <w:rPr>
          <w:color w:val="FF0000"/>
        </w:rPr>
        <w:t xml:space="preserve">alkaloids </w:t>
      </w:r>
      <w:r w:rsidR="005F67CB" w:rsidRPr="00FB26F9">
        <w:rPr>
          <w:color w:val="FF0000"/>
        </w:rPr>
        <w:t xml:space="preserve">which are known as Amaryllidaceae alkaloids </w:t>
      </w:r>
      <w:r w:rsidR="000D1FF6" w:rsidRPr="00FB26F9">
        <w:rPr>
          <w:color w:val="FF0000"/>
        </w:rPr>
        <w:t>such as galanthamine, lycorine, narcic</w:t>
      </w:r>
      <w:r w:rsidR="0042308E" w:rsidRPr="00FB26F9">
        <w:rPr>
          <w:color w:val="FF0000"/>
        </w:rPr>
        <w:t>lasine, haemanthamine</w:t>
      </w:r>
      <w:r w:rsidR="005F67CB" w:rsidRPr="00FB26F9">
        <w:rPr>
          <w:color w:val="FF0000"/>
        </w:rPr>
        <w:t>. Among these o</w:t>
      </w:r>
      <w:r w:rsidR="000D1FF6" w:rsidRPr="00FB26F9">
        <w:rPr>
          <w:color w:val="FF0000"/>
        </w:rPr>
        <w:t>nly galanthamine is produced on a commercial scale for the pharmaceutical industry</w:t>
      </w:r>
      <w:r w:rsidR="005F67CB" w:rsidRPr="00FB26F9">
        <w:rPr>
          <w:color w:val="FF0000"/>
        </w:rPr>
        <w:t xml:space="preserve"> to treat early to mid-stage Alzheimer’s diseases</w:t>
      </w:r>
      <w:r w:rsidR="000D1FF6" w:rsidRPr="00FB26F9">
        <w:rPr>
          <w:color w:val="FF0000"/>
        </w:rPr>
        <w:t xml:space="preserve"> (</w:t>
      </w:r>
      <w:r w:rsidR="00A44962" w:rsidRPr="00FB26F9">
        <w:rPr>
          <w:color w:val="FF0000"/>
        </w:rPr>
        <w:t>Takos and Rook</w:t>
      </w:r>
      <w:r w:rsidR="00C509FC" w:rsidRPr="00FB26F9">
        <w:rPr>
          <w:color w:val="FF0000"/>
        </w:rPr>
        <w:t>,</w:t>
      </w:r>
      <w:r w:rsidR="000D1FF6" w:rsidRPr="00FB26F9">
        <w:rPr>
          <w:color w:val="FF0000"/>
        </w:rPr>
        <w:t xml:space="preserve"> 2013). Lycorine and lycoramine from </w:t>
      </w:r>
      <w:r w:rsidR="000D1FF6" w:rsidRPr="00FB26F9">
        <w:rPr>
          <w:i/>
          <w:color w:val="FF0000"/>
        </w:rPr>
        <w:t>Lycoris radiata</w:t>
      </w:r>
      <w:r w:rsidR="000D1FF6" w:rsidRPr="00FB26F9">
        <w:rPr>
          <w:color w:val="FF0000"/>
        </w:rPr>
        <w:t xml:space="preserve"> (red spider lily) are used in Chinese traditional medicine. </w:t>
      </w:r>
      <w:r w:rsidR="00CE7482" w:rsidRPr="00FB26F9">
        <w:rPr>
          <w:color w:val="FF0000"/>
        </w:rPr>
        <w:t xml:space="preserve">Since the ancient past, </w:t>
      </w:r>
      <w:r w:rsidR="000D1FF6" w:rsidRPr="00FB26F9">
        <w:rPr>
          <w:color w:val="FF0000"/>
        </w:rPr>
        <w:t xml:space="preserve">Amaryllidaceae species have </w:t>
      </w:r>
      <w:r w:rsidR="00CE7482" w:rsidRPr="00FB26F9">
        <w:rPr>
          <w:color w:val="FF0000"/>
        </w:rPr>
        <w:t>been used</w:t>
      </w:r>
      <w:r w:rsidR="000D1FF6" w:rsidRPr="00FB26F9">
        <w:rPr>
          <w:color w:val="FF0000"/>
        </w:rPr>
        <w:t xml:space="preserve"> in traditional herbal medicine and the initial evidence of their therapeutic application was recorded in the fourth century by the use of oil </w:t>
      </w:r>
      <w:r w:rsidR="00887832" w:rsidRPr="00FB26F9">
        <w:rPr>
          <w:color w:val="FF0000"/>
        </w:rPr>
        <w:t xml:space="preserve">extracted </w:t>
      </w:r>
      <w:r w:rsidR="000D1FF6" w:rsidRPr="00FB26F9">
        <w:rPr>
          <w:color w:val="FF0000"/>
        </w:rPr>
        <w:t xml:space="preserve">from </w:t>
      </w:r>
      <w:r w:rsidR="000D1FF6" w:rsidRPr="00FB26F9">
        <w:rPr>
          <w:i/>
          <w:color w:val="FF0000"/>
        </w:rPr>
        <w:t>N. poeticus</w:t>
      </w:r>
      <w:r w:rsidR="000D1FF6" w:rsidRPr="00FB26F9">
        <w:rPr>
          <w:color w:val="FF0000"/>
        </w:rPr>
        <w:t xml:space="preserve"> L. for the treatment of uterine </w:t>
      </w:r>
      <w:r w:rsidR="004F390F" w:rsidRPr="00FB26F9">
        <w:rPr>
          <w:color w:val="FF0000"/>
        </w:rPr>
        <w:t>tumors</w:t>
      </w:r>
      <w:r w:rsidR="000D1FF6" w:rsidRPr="00FB26F9">
        <w:rPr>
          <w:color w:val="FF0000"/>
        </w:rPr>
        <w:t xml:space="preserve"> (</w:t>
      </w:r>
      <w:r w:rsidR="00A44962" w:rsidRPr="00FB26F9">
        <w:rPr>
          <w:color w:val="FF0000"/>
        </w:rPr>
        <w:t xml:space="preserve">He </w:t>
      </w:r>
      <w:r w:rsidR="00D2595E" w:rsidRPr="00FB26F9">
        <w:rPr>
          <w:color w:val="FF0000"/>
        </w:rPr>
        <w:t>et al.,</w:t>
      </w:r>
      <w:r w:rsidR="000D1FF6" w:rsidRPr="00FB26F9">
        <w:rPr>
          <w:color w:val="FF0000"/>
        </w:rPr>
        <w:t xml:space="preserve"> 2015). Amaryllidaceae alkaloids pos</w:t>
      </w:r>
      <w:r w:rsidR="00CE7482" w:rsidRPr="00FB26F9">
        <w:rPr>
          <w:color w:val="FF0000"/>
        </w:rPr>
        <w:t>sess a number of medicinal</w:t>
      </w:r>
      <w:r w:rsidR="000D1FF6" w:rsidRPr="00FB26F9">
        <w:rPr>
          <w:color w:val="FF0000"/>
        </w:rPr>
        <w:t xml:space="preserve"> properties including inhibition of acetylcholinesterase and ascorbic acid biosynthesis, cytotoxicity, anti-cancer, anti-</w:t>
      </w:r>
      <w:r w:rsidR="004F390F" w:rsidRPr="00FB26F9">
        <w:rPr>
          <w:color w:val="FF0000"/>
        </w:rPr>
        <w:t>tumor</w:t>
      </w:r>
      <w:r w:rsidR="000D1FF6" w:rsidRPr="00FB26F9">
        <w:rPr>
          <w:color w:val="FF0000"/>
        </w:rPr>
        <w:t xml:space="preserve"> and anti-viral activities (</w:t>
      </w:r>
      <w:r w:rsidR="00A44962" w:rsidRPr="00FB26F9">
        <w:rPr>
          <w:color w:val="FF0000"/>
        </w:rPr>
        <w:t xml:space="preserve">Berkov </w:t>
      </w:r>
      <w:r w:rsidR="00D2595E" w:rsidRPr="00FB26F9">
        <w:rPr>
          <w:color w:val="FF0000"/>
        </w:rPr>
        <w:t>et al.,</w:t>
      </w:r>
      <w:r w:rsidR="00A44962" w:rsidRPr="00FB26F9">
        <w:rPr>
          <w:color w:val="FF0000"/>
        </w:rPr>
        <w:t xml:space="preserve"> 2009; Tahchy </w:t>
      </w:r>
      <w:r w:rsidR="00D2595E" w:rsidRPr="00FB26F9">
        <w:rPr>
          <w:color w:val="FF0000"/>
        </w:rPr>
        <w:t>et al.,</w:t>
      </w:r>
      <w:r w:rsidR="00A44962" w:rsidRPr="00FB26F9">
        <w:rPr>
          <w:color w:val="FF0000"/>
        </w:rPr>
        <w:t xml:space="preserve"> 2010; Osorio </w:t>
      </w:r>
      <w:r w:rsidR="00D2595E" w:rsidRPr="00FB26F9">
        <w:rPr>
          <w:color w:val="FF0000"/>
        </w:rPr>
        <w:t>et al.,</w:t>
      </w:r>
      <w:r w:rsidR="00A44962" w:rsidRPr="00FB26F9">
        <w:rPr>
          <w:color w:val="FF0000"/>
        </w:rPr>
        <w:t xml:space="preserve"> 2010; Berkov </w:t>
      </w:r>
      <w:r w:rsidR="00D2595E" w:rsidRPr="00FB26F9">
        <w:rPr>
          <w:color w:val="FF0000"/>
        </w:rPr>
        <w:t>et al.,</w:t>
      </w:r>
      <w:r w:rsidR="0016377C" w:rsidRPr="00FB26F9">
        <w:rPr>
          <w:color w:val="FF0000"/>
        </w:rPr>
        <w:t xml:space="preserve"> 2014</w:t>
      </w:r>
      <w:r w:rsidR="00CE7482" w:rsidRPr="00FB26F9">
        <w:rPr>
          <w:color w:val="FF0000"/>
        </w:rPr>
        <w:t>).</w:t>
      </w:r>
    </w:p>
    <w:p w:rsidR="0042308E" w:rsidRPr="00FB26F9" w:rsidRDefault="004C3B06" w:rsidP="009106AE">
      <w:pPr>
        <w:spacing w:line="480" w:lineRule="auto"/>
        <w:rPr>
          <w:color w:val="FF0000"/>
        </w:rPr>
      </w:pPr>
      <w:r w:rsidRPr="00FB26F9">
        <w:rPr>
          <w:color w:val="FF0000"/>
        </w:rPr>
        <w:t>I</w:t>
      </w:r>
      <w:r w:rsidR="005F67CB" w:rsidRPr="00FB26F9">
        <w:rPr>
          <w:color w:val="FF0000"/>
        </w:rPr>
        <w:t xml:space="preserve">t is mostly expensive and challenging to extract valuable metabolites from naturally grown plant due to the major insect pest infestation as well as environmental factors (Oksman-Caldentey and Inze, 2004). </w:t>
      </w:r>
      <w:r w:rsidR="005A7AC7" w:rsidRPr="00FB26F9">
        <w:rPr>
          <w:color w:val="FF0000"/>
        </w:rPr>
        <w:t xml:space="preserve">Therefore, the biotechnological production of secondary metabolites in </w:t>
      </w:r>
      <w:r w:rsidR="00CE7482" w:rsidRPr="00FB26F9">
        <w:rPr>
          <w:color w:val="FF0000"/>
        </w:rPr>
        <w:t xml:space="preserve">plant </w:t>
      </w:r>
      <w:r w:rsidR="008F3D4E" w:rsidRPr="00FB26F9">
        <w:rPr>
          <w:i/>
          <w:color w:val="FF0000"/>
        </w:rPr>
        <w:t>in vitro</w:t>
      </w:r>
      <w:r w:rsidR="005A7AC7" w:rsidRPr="00FB26F9">
        <w:rPr>
          <w:color w:val="FF0000"/>
        </w:rPr>
        <w:t xml:space="preserve"> cultures has become a</w:t>
      </w:r>
      <w:r w:rsidR="00CE7482" w:rsidRPr="00FB26F9">
        <w:rPr>
          <w:color w:val="FF0000"/>
        </w:rPr>
        <w:t>n</w:t>
      </w:r>
      <w:r w:rsidR="005A7AC7" w:rsidRPr="00FB26F9">
        <w:rPr>
          <w:color w:val="FF0000"/>
        </w:rPr>
        <w:t xml:space="preserve"> </w:t>
      </w:r>
      <w:r w:rsidR="00CE7482" w:rsidRPr="00FB26F9">
        <w:rPr>
          <w:color w:val="FF0000"/>
        </w:rPr>
        <w:t>attractive</w:t>
      </w:r>
      <w:r w:rsidR="005A7AC7" w:rsidRPr="00FB26F9">
        <w:rPr>
          <w:color w:val="FF0000"/>
        </w:rPr>
        <w:t xml:space="preserve"> altern</w:t>
      </w:r>
      <w:r w:rsidR="00CE7482" w:rsidRPr="00FB26F9">
        <w:rPr>
          <w:color w:val="FF0000"/>
        </w:rPr>
        <w:t>ative to the extraction from whole plant</w:t>
      </w:r>
      <w:r w:rsidR="00887832" w:rsidRPr="00FB26F9">
        <w:rPr>
          <w:color w:val="FF0000"/>
        </w:rPr>
        <w:t xml:space="preserve"> than</w:t>
      </w:r>
      <w:r w:rsidR="005F67CB" w:rsidRPr="00FB26F9">
        <w:rPr>
          <w:color w:val="FF0000"/>
        </w:rPr>
        <w:t xml:space="preserve"> the conventional method</w:t>
      </w:r>
      <w:r w:rsidR="005A7AC7" w:rsidRPr="00FB26F9">
        <w:rPr>
          <w:color w:val="FF0000"/>
        </w:rPr>
        <w:t xml:space="preserve"> (</w:t>
      </w:r>
      <w:r w:rsidR="00A44962" w:rsidRPr="00FB26F9">
        <w:rPr>
          <w:color w:val="FF0000"/>
        </w:rPr>
        <w:t>Oksman-Caldentey and Inze</w:t>
      </w:r>
      <w:r w:rsidR="00C509FC" w:rsidRPr="00FB26F9">
        <w:rPr>
          <w:color w:val="FF0000"/>
        </w:rPr>
        <w:t>,</w:t>
      </w:r>
      <w:r w:rsidR="005A7AC7" w:rsidRPr="00FB26F9">
        <w:rPr>
          <w:color w:val="FF0000"/>
        </w:rPr>
        <w:t xml:space="preserve"> 2004</w:t>
      </w:r>
      <w:r w:rsidR="007B204C" w:rsidRPr="00FB26F9">
        <w:rPr>
          <w:color w:val="FF0000"/>
        </w:rPr>
        <w:t>; Ferdausi et al., 2021a</w:t>
      </w:r>
      <w:r w:rsidR="005A7AC7" w:rsidRPr="00FB26F9">
        <w:rPr>
          <w:color w:val="FF0000"/>
        </w:rPr>
        <w:t xml:space="preserve">). In addition, tissue culture materials </w:t>
      </w:r>
      <w:r w:rsidR="008F3D4E" w:rsidRPr="00FB26F9">
        <w:rPr>
          <w:color w:val="FF0000"/>
        </w:rPr>
        <w:t xml:space="preserve">are uniform and free from all </w:t>
      </w:r>
      <w:r w:rsidR="005F67CB" w:rsidRPr="00FB26F9">
        <w:rPr>
          <w:color w:val="FF0000"/>
        </w:rPr>
        <w:t xml:space="preserve">natural </w:t>
      </w:r>
      <w:r w:rsidR="008F3D4E" w:rsidRPr="00FB26F9">
        <w:rPr>
          <w:color w:val="FF0000"/>
        </w:rPr>
        <w:t>contaminants (</w:t>
      </w:r>
      <w:r w:rsidR="00A44962" w:rsidRPr="00FB26F9">
        <w:rPr>
          <w:color w:val="FF0000"/>
        </w:rPr>
        <w:t>Nalawade and Tsay</w:t>
      </w:r>
      <w:r w:rsidR="00C509FC" w:rsidRPr="00FB26F9">
        <w:rPr>
          <w:color w:val="FF0000"/>
        </w:rPr>
        <w:t>,</w:t>
      </w:r>
      <w:r w:rsidR="008F3D4E" w:rsidRPr="00FB26F9">
        <w:rPr>
          <w:color w:val="FF0000"/>
        </w:rPr>
        <w:t xml:space="preserve"> 2004); which may allow the easy extraction and purification of metabolites</w:t>
      </w:r>
      <w:r w:rsidR="00887832" w:rsidRPr="00FB26F9">
        <w:rPr>
          <w:color w:val="FF0000"/>
        </w:rPr>
        <w:t>,</w:t>
      </w:r>
      <w:r w:rsidR="008F3D4E" w:rsidRPr="00FB26F9">
        <w:rPr>
          <w:color w:val="FF0000"/>
        </w:rPr>
        <w:t xml:space="preserve"> and a</w:t>
      </w:r>
      <w:r w:rsidR="005A7AC7" w:rsidRPr="00FB26F9">
        <w:rPr>
          <w:color w:val="FF0000"/>
        </w:rPr>
        <w:t xml:space="preserve"> cheaper method for the production of stereo-chemically complex compounds than chemical synthesis-based production (</w:t>
      </w:r>
      <w:r w:rsidR="00A44962" w:rsidRPr="00FB26F9">
        <w:rPr>
          <w:color w:val="FF0000"/>
        </w:rPr>
        <w:t>Oksman-Caldentey and Inze</w:t>
      </w:r>
      <w:r w:rsidR="00C509FC" w:rsidRPr="00FB26F9">
        <w:rPr>
          <w:color w:val="FF0000"/>
        </w:rPr>
        <w:t>,</w:t>
      </w:r>
      <w:r w:rsidR="005A7AC7" w:rsidRPr="00FB26F9">
        <w:rPr>
          <w:color w:val="FF0000"/>
        </w:rPr>
        <w:t xml:space="preserve"> 2004; </w:t>
      </w:r>
      <w:r w:rsidR="00A44962" w:rsidRPr="00FB26F9">
        <w:rPr>
          <w:color w:val="FF0000"/>
        </w:rPr>
        <w:t>Mulabagal and Tsay</w:t>
      </w:r>
      <w:r w:rsidR="00C509FC" w:rsidRPr="00FB26F9">
        <w:rPr>
          <w:color w:val="FF0000"/>
        </w:rPr>
        <w:t>,</w:t>
      </w:r>
      <w:r w:rsidR="005A7AC7" w:rsidRPr="00FB26F9">
        <w:rPr>
          <w:color w:val="FF0000"/>
        </w:rPr>
        <w:t xml:space="preserve"> 2004). </w:t>
      </w:r>
    </w:p>
    <w:p w:rsidR="005A7AC7" w:rsidRPr="00FB26F9" w:rsidRDefault="00CD6AEE" w:rsidP="009106AE">
      <w:pPr>
        <w:spacing w:line="480" w:lineRule="auto"/>
        <w:rPr>
          <w:color w:val="FF0000"/>
          <w:shd w:val="clear" w:color="auto" w:fill="FFFFFF"/>
        </w:rPr>
      </w:pPr>
      <w:r w:rsidRPr="00FB26F9">
        <w:rPr>
          <w:color w:val="FF0000"/>
        </w:rPr>
        <w:lastRenderedPageBreak/>
        <w:t>Due to the complex chemical structures</w:t>
      </w:r>
      <w:r w:rsidR="00FB2056" w:rsidRPr="00FB26F9">
        <w:rPr>
          <w:color w:val="FF0000"/>
        </w:rPr>
        <w:t>, multifaceted metabolic networking</w:t>
      </w:r>
      <w:r w:rsidR="00887832" w:rsidRPr="00FB26F9">
        <w:rPr>
          <w:color w:val="FF0000"/>
        </w:rPr>
        <w:t>,</w:t>
      </w:r>
      <w:r w:rsidRPr="00FB26F9">
        <w:rPr>
          <w:color w:val="FF0000"/>
        </w:rPr>
        <w:t xml:space="preserve"> and limited knowledge on the biosynthesis of plant secondary metabolites, their nature of production and accumulation in plants is </w:t>
      </w:r>
      <w:r w:rsidR="00FB2056" w:rsidRPr="00FB26F9">
        <w:rPr>
          <w:color w:val="FF0000"/>
        </w:rPr>
        <w:t>undistinguishable</w:t>
      </w:r>
      <w:r w:rsidRPr="00FB26F9">
        <w:rPr>
          <w:color w:val="FF0000"/>
        </w:rPr>
        <w:t xml:space="preserve"> (</w:t>
      </w:r>
      <w:r w:rsidR="00A44962" w:rsidRPr="00FB26F9">
        <w:rPr>
          <w:color w:val="FF0000"/>
        </w:rPr>
        <w:t xml:space="preserve">Verpoorte </w:t>
      </w:r>
      <w:r w:rsidR="00D2595E" w:rsidRPr="00FB26F9">
        <w:rPr>
          <w:color w:val="FF0000"/>
        </w:rPr>
        <w:t>et al.,</w:t>
      </w:r>
      <w:r w:rsidRPr="00FB26F9">
        <w:rPr>
          <w:color w:val="FF0000"/>
        </w:rPr>
        <w:t xml:space="preserve"> 2002). However, new technologies such as </w:t>
      </w:r>
      <w:r w:rsidR="00FB2056" w:rsidRPr="00FB26F9">
        <w:rPr>
          <w:color w:val="FF0000"/>
        </w:rPr>
        <w:t xml:space="preserve">biotechnology, </w:t>
      </w:r>
      <w:r w:rsidRPr="00FB26F9">
        <w:rPr>
          <w:color w:val="FF0000"/>
        </w:rPr>
        <w:t xml:space="preserve">metabolomics and transcriptomics are starting to give new insights on plant secondary metabolism (Lubbe </w:t>
      </w:r>
      <w:r w:rsidR="00D2595E" w:rsidRPr="00FB26F9">
        <w:rPr>
          <w:color w:val="FF0000"/>
        </w:rPr>
        <w:t>et al.,</w:t>
      </w:r>
      <w:r w:rsidR="00A44962" w:rsidRPr="00FB26F9">
        <w:rPr>
          <w:color w:val="FF0000"/>
        </w:rPr>
        <w:t xml:space="preserve"> 2013; Berkov </w:t>
      </w:r>
      <w:r w:rsidR="00D2595E" w:rsidRPr="00FB26F9">
        <w:rPr>
          <w:color w:val="FF0000"/>
        </w:rPr>
        <w:t>et al.,</w:t>
      </w:r>
      <w:r w:rsidRPr="00FB26F9">
        <w:rPr>
          <w:color w:val="FF0000"/>
        </w:rPr>
        <w:t xml:space="preserve"> 2014). </w:t>
      </w:r>
      <w:r w:rsidR="00FB2056" w:rsidRPr="00FB26F9">
        <w:rPr>
          <w:color w:val="FF0000"/>
          <w:shd w:val="clear" w:color="auto" w:fill="FFFFFF"/>
        </w:rPr>
        <w:t>S</w:t>
      </w:r>
      <w:r w:rsidR="005A7AC7" w:rsidRPr="00FB26F9">
        <w:rPr>
          <w:color w:val="FF0000"/>
          <w:shd w:val="clear" w:color="auto" w:fill="FFFFFF"/>
        </w:rPr>
        <w:t xml:space="preserve">econdary metabolites </w:t>
      </w:r>
      <w:r w:rsidR="00FB2056" w:rsidRPr="00FB26F9">
        <w:rPr>
          <w:color w:val="FF0000"/>
          <w:shd w:val="clear" w:color="auto" w:fill="FFFFFF"/>
        </w:rPr>
        <w:t xml:space="preserve">production often </w:t>
      </w:r>
      <w:r w:rsidR="005A7AC7" w:rsidRPr="00FB26F9">
        <w:rPr>
          <w:color w:val="FF0000"/>
          <w:shd w:val="clear" w:color="auto" w:fill="FFFFFF"/>
        </w:rPr>
        <w:t>require</w:t>
      </w:r>
      <w:r w:rsidR="00FB2056" w:rsidRPr="00FB26F9">
        <w:rPr>
          <w:color w:val="FF0000"/>
          <w:shd w:val="clear" w:color="auto" w:fill="FFFFFF"/>
        </w:rPr>
        <w:t>s the primary</w:t>
      </w:r>
      <w:r w:rsidR="005A7AC7" w:rsidRPr="00FB26F9">
        <w:rPr>
          <w:color w:val="FF0000"/>
          <w:shd w:val="clear" w:color="auto" w:fill="FFFFFF"/>
        </w:rPr>
        <w:t xml:space="preserve"> metabolites to undergo a</w:t>
      </w:r>
      <w:r w:rsidR="00B52BDC" w:rsidRPr="00FB26F9">
        <w:rPr>
          <w:color w:val="FF0000"/>
          <w:shd w:val="clear" w:color="auto" w:fill="FFFFFF"/>
        </w:rPr>
        <w:t xml:space="preserve"> series of modifications catalyz</w:t>
      </w:r>
      <w:r w:rsidR="005A7AC7" w:rsidRPr="00FB26F9">
        <w:rPr>
          <w:color w:val="FF0000"/>
          <w:shd w:val="clear" w:color="auto" w:fill="FFFFFF"/>
        </w:rPr>
        <w:t xml:space="preserve">ed by enzymes such as cytochrome P450s, methyltransferases, glycosyltransferases and acyltransferases. </w:t>
      </w:r>
      <w:r w:rsidR="00FB2056" w:rsidRPr="00FB26F9">
        <w:rPr>
          <w:color w:val="FF0000"/>
          <w:shd w:val="clear" w:color="auto" w:fill="FFFFFF"/>
        </w:rPr>
        <w:t>The putative genes involved in secondary metabolite production</w:t>
      </w:r>
      <w:r w:rsidR="005A7AC7" w:rsidRPr="00FB26F9">
        <w:rPr>
          <w:color w:val="FF0000"/>
          <w:shd w:val="clear" w:color="auto" w:fill="FFFFFF"/>
        </w:rPr>
        <w:t xml:space="preserve"> exist in families with multiple members because of recurrent gene duplication (</w:t>
      </w:r>
      <w:proofErr w:type="spellStart"/>
      <w:r w:rsidR="005A7AC7" w:rsidRPr="00FB26F9">
        <w:rPr>
          <w:color w:val="FF0000"/>
          <w:shd w:val="clear" w:color="auto" w:fill="FFFFFF"/>
        </w:rPr>
        <w:t>Ober</w:t>
      </w:r>
      <w:proofErr w:type="spellEnd"/>
      <w:r w:rsidR="00C509FC" w:rsidRPr="00FB26F9">
        <w:rPr>
          <w:color w:val="FF0000"/>
          <w:shd w:val="clear" w:color="auto" w:fill="FFFFFF"/>
        </w:rPr>
        <w:t>,</w:t>
      </w:r>
      <w:r w:rsidR="005A7AC7" w:rsidRPr="00FB26F9">
        <w:rPr>
          <w:color w:val="FF0000"/>
          <w:shd w:val="clear" w:color="auto" w:fill="FFFFFF"/>
        </w:rPr>
        <w:t xml:space="preserve"> 2005). Some </w:t>
      </w:r>
      <w:r w:rsidR="00FB2056" w:rsidRPr="00FB26F9">
        <w:rPr>
          <w:color w:val="FF0000"/>
          <w:shd w:val="clear" w:color="auto" w:fill="FFFFFF"/>
        </w:rPr>
        <w:t xml:space="preserve">of those putative </w:t>
      </w:r>
      <w:r w:rsidR="005A7AC7" w:rsidRPr="00FB26F9">
        <w:rPr>
          <w:color w:val="FF0000"/>
          <w:shd w:val="clear" w:color="auto" w:fill="FFFFFF"/>
        </w:rPr>
        <w:t xml:space="preserve">genes </w:t>
      </w:r>
      <w:r w:rsidR="00887832" w:rsidRPr="00FB26F9">
        <w:rPr>
          <w:color w:val="FF0000"/>
          <w:shd w:val="clear" w:color="auto" w:fill="FFFFFF"/>
        </w:rPr>
        <w:t xml:space="preserve">are </w:t>
      </w:r>
      <w:r w:rsidR="005A7AC7" w:rsidRPr="00FB26F9">
        <w:rPr>
          <w:color w:val="FF0000"/>
          <w:shd w:val="clear" w:color="auto" w:fill="FFFFFF"/>
        </w:rPr>
        <w:t>belong to small families (&lt;10 members) involved in the production of a specific secondary product such as cinnamate 4-hydroxylase</w:t>
      </w:r>
      <w:r w:rsidR="00215CD8" w:rsidRPr="00FB26F9">
        <w:rPr>
          <w:color w:val="FF0000"/>
          <w:shd w:val="clear" w:color="auto" w:fill="FFFFFF"/>
        </w:rPr>
        <w:t xml:space="preserve"> (C4H)</w:t>
      </w:r>
      <w:r w:rsidR="005A7AC7" w:rsidRPr="00FB26F9">
        <w:rPr>
          <w:color w:val="FF0000"/>
          <w:shd w:val="clear" w:color="auto" w:fill="FFFFFF"/>
        </w:rPr>
        <w:t>; while others present in mid-size families (10-100 members) such as cinnamoyl-CoA reducta</w:t>
      </w:r>
      <w:r w:rsidR="00C15B5A" w:rsidRPr="00FB26F9">
        <w:rPr>
          <w:color w:val="FF0000"/>
          <w:shd w:val="clear" w:color="auto" w:fill="FFFFFF"/>
        </w:rPr>
        <w:t>se</w:t>
      </w:r>
      <w:r w:rsidR="00215CD8" w:rsidRPr="00FB26F9">
        <w:rPr>
          <w:color w:val="FF0000"/>
          <w:shd w:val="clear" w:color="auto" w:fill="FFFFFF"/>
        </w:rPr>
        <w:t xml:space="preserve"> (C3H)</w:t>
      </w:r>
      <w:r w:rsidR="00C15B5A" w:rsidRPr="00FB26F9">
        <w:rPr>
          <w:color w:val="FF0000"/>
          <w:shd w:val="clear" w:color="auto" w:fill="FFFFFF"/>
        </w:rPr>
        <w:t xml:space="preserve"> and terpene synthase. Moreover</w:t>
      </w:r>
      <w:r w:rsidR="005A7AC7" w:rsidRPr="00FB26F9">
        <w:rPr>
          <w:color w:val="FF0000"/>
          <w:shd w:val="clear" w:color="auto" w:fill="FFFFFF"/>
        </w:rPr>
        <w:t xml:space="preserve">, some genes </w:t>
      </w:r>
      <w:r w:rsidR="00887832" w:rsidRPr="00FB26F9">
        <w:rPr>
          <w:color w:val="FF0000"/>
          <w:shd w:val="clear" w:color="auto" w:fill="FFFFFF"/>
        </w:rPr>
        <w:t xml:space="preserve">are </w:t>
      </w:r>
      <w:r w:rsidR="005A7AC7" w:rsidRPr="00FB26F9">
        <w:rPr>
          <w:color w:val="FF0000"/>
          <w:shd w:val="clear" w:color="auto" w:fill="FFFFFF"/>
        </w:rPr>
        <w:t>belong to very large families (&gt;100 members) involved in the production of a plethora of plant secondary metabo</w:t>
      </w:r>
      <w:r w:rsidR="00086AD5" w:rsidRPr="00FB26F9">
        <w:rPr>
          <w:color w:val="FF0000"/>
          <w:shd w:val="clear" w:color="auto" w:fill="FFFFFF"/>
        </w:rPr>
        <w:t xml:space="preserve">lites </w:t>
      </w:r>
      <w:r w:rsidR="00FB2056" w:rsidRPr="00FB26F9">
        <w:rPr>
          <w:color w:val="FF0000"/>
          <w:shd w:val="clear" w:color="auto" w:fill="FFFFFF"/>
        </w:rPr>
        <w:t>which include</w:t>
      </w:r>
      <w:r w:rsidR="005A7AC7" w:rsidRPr="00FB26F9">
        <w:rPr>
          <w:color w:val="FF0000"/>
          <w:shd w:val="clear" w:color="auto" w:fill="FFFFFF"/>
        </w:rPr>
        <w:t xml:space="preserve"> the cytochrome P450s, UDP-dependent </w:t>
      </w:r>
      <w:r w:rsidR="00887832" w:rsidRPr="00FB26F9">
        <w:rPr>
          <w:color w:val="FF0000"/>
          <w:shd w:val="clear" w:color="auto" w:fill="FFFFFF"/>
        </w:rPr>
        <w:t>glycosyltransferases,</w:t>
      </w:r>
      <w:r w:rsidR="005A7AC7" w:rsidRPr="00FB26F9">
        <w:rPr>
          <w:color w:val="FF0000"/>
          <w:shd w:val="clear" w:color="auto" w:fill="FFFFFF"/>
        </w:rPr>
        <w:t xml:space="preserve"> and methyltransferases (</w:t>
      </w:r>
      <w:r w:rsidR="00A44962" w:rsidRPr="00FB26F9">
        <w:rPr>
          <w:color w:val="FF0000"/>
          <w:shd w:val="clear" w:color="auto" w:fill="FFFFFF"/>
        </w:rPr>
        <w:t xml:space="preserve">Zhao </w:t>
      </w:r>
      <w:r w:rsidR="00D2595E" w:rsidRPr="00FB26F9">
        <w:rPr>
          <w:color w:val="FF0000"/>
          <w:shd w:val="clear" w:color="auto" w:fill="FFFFFF"/>
        </w:rPr>
        <w:t>et al.,</w:t>
      </w:r>
      <w:r w:rsidR="005A7AC7" w:rsidRPr="00FB26F9">
        <w:rPr>
          <w:color w:val="FF0000"/>
          <w:shd w:val="clear" w:color="auto" w:fill="FFFFFF"/>
        </w:rPr>
        <w:t xml:space="preserve"> 2014).</w:t>
      </w:r>
      <w:r w:rsidR="00086AD5" w:rsidRPr="00FB26F9">
        <w:rPr>
          <w:color w:val="FF0000"/>
          <w:shd w:val="clear" w:color="auto" w:fill="FFFFFF"/>
        </w:rPr>
        <w:t xml:space="preserve"> </w:t>
      </w:r>
      <w:r w:rsidR="005A7AC7" w:rsidRPr="00FB26F9">
        <w:rPr>
          <w:color w:val="FF0000"/>
        </w:rPr>
        <w:t>Putative genes including phenylalanine ammonia lyase (</w:t>
      </w:r>
      <w:r w:rsidR="005A7AC7" w:rsidRPr="00FB26F9">
        <w:rPr>
          <w:i/>
          <w:color w:val="FF0000"/>
        </w:rPr>
        <w:t>PAL</w:t>
      </w:r>
      <w:r w:rsidR="005A7AC7" w:rsidRPr="00FB26F9">
        <w:rPr>
          <w:color w:val="FF0000"/>
        </w:rPr>
        <w:t xml:space="preserve">), </w:t>
      </w:r>
      <w:r w:rsidR="005A7AC7" w:rsidRPr="00FB26F9">
        <w:rPr>
          <w:i/>
          <w:color w:val="FF0000"/>
        </w:rPr>
        <w:t>N</w:t>
      </w:r>
      <w:r w:rsidR="005A7AC7" w:rsidRPr="00FB26F9">
        <w:rPr>
          <w:color w:val="FF0000"/>
        </w:rPr>
        <w:t>-methyltransferase (</w:t>
      </w:r>
      <w:r w:rsidR="005A7AC7" w:rsidRPr="00FB26F9">
        <w:rPr>
          <w:i/>
          <w:color w:val="FF0000"/>
        </w:rPr>
        <w:t>NMT</w:t>
      </w:r>
      <w:r w:rsidR="005A7AC7" w:rsidRPr="00FB26F9">
        <w:rPr>
          <w:color w:val="FF0000"/>
        </w:rPr>
        <w:t>),</w:t>
      </w:r>
      <w:r w:rsidR="005A7AC7" w:rsidRPr="00FB26F9">
        <w:rPr>
          <w:bCs/>
          <w:color w:val="FF0000"/>
          <w:shd w:val="clear" w:color="auto" w:fill="FFFFFF"/>
        </w:rPr>
        <w:t xml:space="preserve"> cytochrome P450s</w:t>
      </w:r>
      <w:r w:rsidR="005A7AC7" w:rsidRPr="00FB26F9">
        <w:rPr>
          <w:rStyle w:val="apple-converted-space"/>
          <w:color w:val="FF0000"/>
          <w:shd w:val="clear" w:color="auto" w:fill="FFFFFF"/>
        </w:rPr>
        <w:t> </w:t>
      </w:r>
      <w:r w:rsidR="005A7AC7" w:rsidRPr="00FB26F9">
        <w:rPr>
          <w:color w:val="FF0000"/>
          <w:shd w:val="clear" w:color="auto" w:fill="FFFFFF"/>
        </w:rPr>
        <w:t>(</w:t>
      </w:r>
      <w:r w:rsidR="005A7AC7" w:rsidRPr="00FB26F9">
        <w:rPr>
          <w:bCs/>
          <w:i/>
          <w:color w:val="FF0000"/>
          <w:shd w:val="clear" w:color="auto" w:fill="FFFFFF"/>
        </w:rPr>
        <w:t>CYPs</w:t>
      </w:r>
      <w:r w:rsidR="005A7AC7" w:rsidRPr="00FB26F9">
        <w:rPr>
          <w:color w:val="FF0000"/>
          <w:shd w:val="clear" w:color="auto" w:fill="FFFFFF"/>
        </w:rPr>
        <w:t>)</w:t>
      </w:r>
      <w:r w:rsidR="005A7AC7" w:rsidRPr="00FB26F9">
        <w:rPr>
          <w:color w:val="FF0000"/>
        </w:rPr>
        <w:t>, tyrosine decarboxylase (</w:t>
      </w:r>
      <w:r w:rsidR="005A7AC7" w:rsidRPr="00FB26F9">
        <w:rPr>
          <w:i/>
          <w:color w:val="FF0000"/>
        </w:rPr>
        <w:t>TYDC</w:t>
      </w:r>
      <w:r w:rsidR="00887832" w:rsidRPr="00FB26F9">
        <w:rPr>
          <w:color w:val="FF0000"/>
        </w:rPr>
        <w:t xml:space="preserve">), </w:t>
      </w:r>
      <w:r w:rsidR="005A7AC7" w:rsidRPr="00FB26F9">
        <w:rPr>
          <w:i/>
          <w:color w:val="FF0000"/>
        </w:rPr>
        <w:t>O</w:t>
      </w:r>
      <w:r w:rsidR="005A7AC7" w:rsidRPr="00FB26F9">
        <w:rPr>
          <w:color w:val="FF0000"/>
        </w:rPr>
        <w:t>-methyltransferase (</w:t>
      </w:r>
      <w:r w:rsidR="005A7AC7" w:rsidRPr="00FB26F9">
        <w:rPr>
          <w:i/>
          <w:color w:val="FF0000"/>
        </w:rPr>
        <w:t>OMT</w:t>
      </w:r>
      <w:r w:rsidR="005A7AC7" w:rsidRPr="00FB26F9">
        <w:rPr>
          <w:color w:val="FF0000"/>
        </w:rPr>
        <w:t>)</w:t>
      </w:r>
      <w:r w:rsidR="00887832" w:rsidRPr="00FB26F9">
        <w:rPr>
          <w:color w:val="FF0000"/>
        </w:rPr>
        <w:t>,</w:t>
      </w:r>
      <w:r w:rsidR="005A7AC7" w:rsidRPr="00FB26F9">
        <w:rPr>
          <w:color w:val="FF0000"/>
        </w:rPr>
        <w:t xml:space="preserve"> and other potentially important candidate genes involved in Amaryllidaceae alkaloids synthesis have been identified in </w:t>
      </w:r>
      <w:r w:rsidR="005A7AC7" w:rsidRPr="00FB26F9">
        <w:rPr>
          <w:i/>
          <w:color w:val="FF0000"/>
        </w:rPr>
        <w:t>Lycoris</w:t>
      </w:r>
      <w:r w:rsidR="005A7AC7" w:rsidRPr="00FB26F9">
        <w:rPr>
          <w:color w:val="FF0000"/>
        </w:rPr>
        <w:t xml:space="preserve"> (</w:t>
      </w:r>
      <w:r w:rsidR="00A44962" w:rsidRPr="00FB26F9">
        <w:rPr>
          <w:color w:val="FF0000"/>
        </w:rPr>
        <w:t xml:space="preserve">Wang </w:t>
      </w:r>
      <w:r w:rsidR="00D2595E" w:rsidRPr="00FB26F9">
        <w:rPr>
          <w:color w:val="FF0000"/>
        </w:rPr>
        <w:t>et al.,</w:t>
      </w:r>
      <w:r w:rsidR="005A7AC7" w:rsidRPr="00FB26F9">
        <w:rPr>
          <w:color w:val="FF0000"/>
        </w:rPr>
        <w:t xml:space="preserve"> 2013)</w:t>
      </w:r>
      <w:r w:rsidR="00086AD5" w:rsidRPr="00FB26F9">
        <w:rPr>
          <w:color w:val="FF0000"/>
        </w:rPr>
        <w:t xml:space="preserve"> and</w:t>
      </w:r>
      <w:r w:rsidR="005A7AC7" w:rsidRPr="00FB26F9">
        <w:rPr>
          <w:color w:val="FF0000"/>
        </w:rPr>
        <w:t xml:space="preserve"> </w:t>
      </w:r>
      <w:r w:rsidR="005A7AC7" w:rsidRPr="00FB26F9">
        <w:rPr>
          <w:i/>
          <w:color w:val="FF0000"/>
        </w:rPr>
        <w:t xml:space="preserve">Narcissus </w:t>
      </w:r>
      <w:r w:rsidR="005A7AC7" w:rsidRPr="00FB26F9">
        <w:rPr>
          <w:color w:val="FF0000"/>
        </w:rPr>
        <w:t>(</w:t>
      </w:r>
      <w:r w:rsidR="00A44962" w:rsidRPr="00FB26F9">
        <w:rPr>
          <w:color w:val="FF0000"/>
        </w:rPr>
        <w:t xml:space="preserve">Kilgore </w:t>
      </w:r>
      <w:r w:rsidR="00D2595E" w:rsidRPr="00FB26F9">
        <w:rPr>
          <w:color w:val="FF0000"/>
        </w:rPr>
        <w:t>et al.,</w:t>
      </w:r>
      <w:r w:rsidR="005A7AC7" w:rsidRPr="00FB26F9">
        <w:rPr>
          <w:color w:val="FF0000"/>
        </w:rPr>
        <w:t xml:space="preserve"> 2014</w:t>
      </w:r>
      <w:r w:rsidR="00A44962" w:rsidRPr="00FB26F9">
        <w:rPr>
          <w:color w:val="FF0000"/>
        </w:rPr>
        <w:t>;</w:t>
      </w:r>
      <w:r w:rsidR="005A7AC7" w:rsidRPr="00FB26F9">
        <w:rPr>
          <w:color w:val="FF0000"/>
        </w:rPr>
        <w:t xml:space="preserve"> </w:t>
      </w:r>
      <w:r w:rsidR="00A44962" w:rsidRPr="00FB26F9">
        <w:rPr>
          <w:color w:val="FF0000"/>
        </w:rPr>
        <w:t xml:space="preserve">Kilgore </w:t>
      </w:r>
      <w:r w:rsidR="00D2595E" w:rsidRPr="00FB26F9">
        <w:rPr>
          <w:color w:val="FF0000"/>
        </w:rPr>
        <w:t>et al.,</w:t>
      </w:r>
      <w:r w:rsidR="00936845" w:rsidRPr="00FB26F9">
        <w:rPr>
          <w:color w:val="FF0000"/>
        </w:rPr>
        <w:t xml:space="preserve"> 2016</w:t>
      </w:r>
      <w:r w:rsidR="00067FF1" w:rsidRPr="00FB26F9">
        <w:rPr>
          <w:color w:val="FF0000"/>
        </w:rPr>
        <w:t>a</w:t>
      </w:r>
      <w:r w:rsidR="00A44962" w:rsidRPr="00FB26F9">
        <w:rPr>
          <w:color w:val="FF0000"/>
        </w:rPr>
        <w:t>;</w:t>
      </w:r>
      <w:r w:rsidR="00C46463" w:rsidRPr="00FB26F9">
        <w:rPr>
          <w:color w:val="FF0000"/>
        </w:rPr>
        <w:t xml:space="preserve"> Hotchandani</w:t>
      </w:r>
      <w:r w:rsidR="00A44962" w:rsidRPr="00FB26F9">
        <w:rPr>
          <w:color w:val="FF0000"/>
        </w:rPr>
        <w:t xml:space="preserve"> </w:t>
      </w:r>
      <w:r w:rsidR="00D2595E" w:rsidRPr="00FB26F9">
        <w:rPr>
          <w:color w:val="FF0000"/>
        </w:rPr>
        <w:t>et al.,</w:t>
      </w:r>
      <w:r w:rsidR="00C46463" w:rsidRPr="00FB26F9">
        <w:rPr>
          <w:color w:val="FF0000"/>
        </w:rPr>
        <w:t xml:space="preserve"> 2019</w:t>
      </w:r>
      <w:r w:rsidR="007B204C" w:rsidRPr="00FB26F9">
        <w:rPr>
          <w:color w:val="FF0000"/>
        </w:rPr>
        <w:t>; Ferdausi et al., 2021b</w:t>
      </w:r>
      <w:r w:rsidR="005A7AC7" w:rsidRPr="00FB26F9">
        <w:rPr>
          <w:color w:val="FF0000"/>
        </w:rPr>
        <w:t>)</w:t>
      </w:r>
      <w:r w:rsidR="00086AD5" w:rsidRPr="00FB26F9">
        <w:rPr>
          <w:color w:val="FF0000"/>
        </w:rPr>
        <w:t xml:space="preserve">. </w:t>
      </w:r>
      <w:r w:rsidR="005A7AC7" w:rsidRPr="00FB26F9">
        <w:rPr>
          <w:color w:val="FF0000"/>
        </w:rPr>
        <w:t>One candidate gene for the methylation of norbelladine to 4'-</w:t>
      </w:r>
      <w:r w:rsidR="005A7AC7" w:rsidRPr="00FB26F9">
        <w:rPr>
          <w:i/>
          <w:color w:val="FF0000"/>
        </w:rPr>
        <w:t>O</w:t>
      </w:r>
      <w:r w:rsidR="005A7AC7" w:rsidRPr="00FB26F9">
        <w:rPr>
          <w:color w:val="FF0000"/>
        </w:rPr>
        <w:t>-methylnorbelladine (norbelladine 4'-</w:t>
      </w:r>
      <w:r w:rsidR="005A7AC7" w:rsidRPr="00FB26F9">
        <w:rPr>
          <w:i/>
          <w:color w:val="FF0000"/>
        </w:rPr>
        <w:t>O</w:t>
      </w:r>
      <w:r w:rsidR="005A7AC7" w:rsidRPr="00FB26F9">
        <w:rPr>
          <w:color w:val="FF0000"/>
        </w:rPr>
        <w:t xml:space="preserve">-methyltransferase, </w:t>
      </w:r>
      <w:r w:rsidR="005A7AC7" w:rsidRPr="00FB26F9">
        <w:rPr>
          <w:i/>
          <w:color w:val="FF0000"/>
        </w:rPr>
        <w:t>Np</w:t>
      </w:r>
      <w:r w:rsidR="005A7AC7" w:rsidRPr="00FB26F9">
        <w:rPr>
          <w:color w:val="FF0000"/>
        </w:rPr>
        <w:t xml:space="preserve">N4OMT) has been identified in </w:t>
      </w:r>
      <w:r w:rsidR="005A7AC7" w:rsidRPr="00FB26F9">
        <w:rPr>
          <w:i/>
          <w:color w:val="FF0000"/>
        </w:rPr>
        <w:t xml:space="preserve">N. pseudonarcissus </w:t>
      </w:r>
      <w:r w:rsidR="005A7AC7" w:rsidRPr="00FB26F9">
        <w:rPr>
          <w:color w:val="FF0000"/>
        </w:rPr>
        <w:t>and genes that co-express with it could be identified and used as candidates for the other steps in the proposed Amaryllidaceae alkaloids biosynthetic pathway (</w:t>
      </w:r>
      <w:r w:rsidR="00A44962" w:rsidRPr="00FB26F9">
        <w:rPr>
          <w:color w:val="FF0000"/>
        </w:rPr>
        <w:t xml:space="preserve">Kilgore </w:t>
      </w:r>
      <w:r w:rsidR="00D2595E" w:rsidRPr="00FB26F9">
        <w:rPr>
          <w:color w:val="FF0000"/>
        </w:rPr>
        <w:t>et al.,</w:t>
      </w:r>
      <w:r w:rsidR="005A7AC7" w:rsidRPr="00FB26F9">
        <w:rPr>
          <w:color w:val="FF0000"/>
        </w:rPr>
        <w:t xml:space="preserve"> 2014). </w:t>
      </w:r>
      <w:r w:rsidR="00B52BDC" w:rsidRPr="00FB26F9">
        <w:rPr>
          <w:color w:val="FF0000"/>
        </w:rPr>
        <w:t>Furthermore, a</w:t>
      </w:r>
      <w:r w:rsidR="005A7AC7" w:rsidRPr="00FB26F9">
        <w:rPr>
          <w:color w:val="FF0000"/>
        </w:rPr>
        <w:t xml:space="preserve"> cytochrome P450, </w:t>
      </w:r>
      <w:r w:rsidR="005A7AC7" w:rsidRPr="00FB26F9">
        <w:rPr>
          <w:i/>
          <w:color w:val="FF0000"/>
        </w:rPr>
        <w:t>CYP96T1</w:t>
      </w:r>
      <w:r w:rsidR="00F9123E" w:rsidRPr="00FB26F9">
        <w:rPr>
          <w:color w:val="FF0000"/>
        </w:rPr>
        <w:t xml:space="preserve"> has </w:t>
      </w:r>
      <w:r w:rsidR="005A7AC7" w:rsidRPr="00FB26F9">
        <w:rPr>
          <w:color w:val="FF0000"/>
        </w:rPr>
        <w:t xml:space="preserve">been identified through comparative transcriptomics of </w:t>
      </w:r>
      <w:r w:rsidR="005A7AC7" w:rsidRPr="00FB26F9">
        <w:rPr>
          <w:i/>
          <w:color w:val="FF0000"/>
        </w:rPr>
        <w:t>N. pseudonarcissus</w:t>
      </w:r>
      <w:r w:rsidR="005A7AC7" w:rsidRPr="00FB26F9">
        <w:rPr>
          <w:color w:val="FF0000"/>
        </w:rPr>
        <w:t xml:space="preserve"> and </w:t>
      </w:r>
      <w:r w:rsidR="005A7AC7" w:rsidRPr="00FB26F9">
        <w:rPr>
          <w:i/>
          <w:color w:val="FF0000"/>
        </w:rPr>
        <w:t>Galanthus spp</w:t>
      </w:r>
      <w:r w:rsidR="005A7AC7" w:rsidRPr="00FB26F9">
        <w:rPr>
          <w:color w:val="FF0000"/>
        </w:rPr>
        <w:t>. (</w:t>
      </w:r>
      <w:r w:rsidR="00A44962" w:rsidRPr="00FB26F9">
        <w:rPr>
          <w:rFonts w:eastAsia="MTSY"/>
          <w:color w:val="FF0000"/>
        </w:rPr>
        <w:t xml:space="preserve">Kilgore </w:t>
      </w:r>
      <w:r w:rsidR="00D2595E" w:rsidRPr="00FB26F9">
        <w:rPr>
          <w:rFonts w:eastAsia="MTSY"/>
          <w:color w:val="FF0000"/>
        </w:rPr>
        <w:t>et al.,</w:t>
      </w:r>
      <w:r w:rsidR="00936845" w:rsidRPr="00FB26F9">
        <w:rPr>
          <w:rFonts w:eastAsia="MTSY"/>
          <w:color w:val="FF0000"/>
        </w:rPr>
        <w:t xml:space="preserve"> 2016</w:t>
      </w:r>
      <w:r w:rsidR="00936845" w:rsidRPr="00FB26F9">
        <w:rPr>
          <w:color w:val="FF0000"/>
        </w:rPr>
        <w:t>a</w:t>
      </w:r>
      <w:r w:rsidR="005A7AC7" w:rsidRPr="00FB26F9">
        <w:rPr>
          <w:color w:val="FF0000"/>
        </w:rPr>
        <w:t>) which is capable of forming the products (10b</w:t>
      </w:r>
      <w:r w:rsidR="005A7AC7" w:rsidRPr="00FB26F9">
        <w:rPr>
          <w:i/>
          <w:iCs/>
          <w:color w:val="FF0000"/>
        </w:rPr>
        <w:t>R</w:t>
      </w:r>
      <w:r w:rsidR="005A7AC7" w:rsidRPr="00FB26F9">
        <w:rPr>
          <w:color w:val="FF0000"/>
        </w:rPr>
        <w:t>,4a</w:t>
      </w:r>
      <w:r w:rsidR="005A7AC7" w:rsidRPr="00FB26F9">
        <w:rPr>
          <w:i/>
          <w:iCs/>
          <w:color w:val="FF0000"/>
        </w:rPr>
        <w:t>S</w:t>
      </w:r>
      <w:r w:rsidR="005A7AC7" w:rsidRPr="00FB26F9">
        <w:rPr>
          <w:color w:val="FF0000"/>
        </w:rPr>
        <w:t>)-noroxomaritidine</w:t>
      </w:r>
      <w:r w:rsidR="00887832" w:rsidRPr="00FB26F9">
        <w:rPr>
          <w:color w:val="FF0000"/>
        </w:rPr>
        <w:t>,</w:t>
      </w:r>
      <w:r w:rsidR="005A7AC7" w:rsidRPr="00FB26F9">
        <w:rPr>
          <w:color w:val="FF0000"/>
        </w:rPr>
        <w:t xml:space="preserve"> and (10b</w:t>
      </w:r>
      <w:r w:rsidR="005A7AC7" w:rsidRPr="00FB26F9">
        <w:rPr>
          <w:i/>
          <w:iCs/>
          <w:color w:val="FF0000"/>
        </w:rPr>
        <w:t>S</w:t>
      </w:r>
      <w:r w:rsidR="005A7AC7" w:rsidRPr="00FB26F9">
        <w:rPr>
          <w:color w:val="FF0000"/>
        </w:rPr>
        <w:t>,4a</w:t>
      </w:r>
      <w:r w:rsidR="005A7AC7" w:rsidRPr="00FB26F9">
        <w:rPr>
          <w:i/>
          <w:iCs/>
          <w:color w:val="FF0000"/>
        </w:rPr>
        <w:t>R</w:t>
      </w:r>
      <w:r w:rsidR="005A7AC7" w:rsidRPr="00FB26F9">
        <w:rPr>
          <w:color w:val="FF0000"/>
        </w:rPr>
        <w:t>)-</w:t>
      </w:r>
      <w:r w:rsidR="005A7AC7" w:rsidRPr="00FB26F9">
        <w:rPr>
          <w:color w:val="FF0000"/>
        </w:rPr>
        <w:lastRenderedPageBreak/>
        <w:t>noroxomaritidine from 4</w:t>
      </w:r>
      <w:r w:rsidR="005A7AC7" w:rsidRPr="00FB26F9">
        <w:rPr>
          <w:rFonts w:eastAsia="MTSY"/>
          <w:color w:val="FF0000"/>
        </w:rPr>
        <w:t>′-</w:t>
      </w:r>
      <w:r w:rsidR="005A7AC7" w:rsidRPr="00FB26F9">
        <w:rPr>
          <w:rFonts w:eastAsia="MTSY"/>
          <w:i/>
          <w:iCs/>
          <w:color w:val="FF0000"/>
        </w:rPr>
        <w:t xml:space="preserve">O </w:t>
      </w:r>
      <w:r w:rsidR="005A7AC7" w:rsidRPr="00FB26F9">
        <w:rPr>
          <w:rFonts w:eastAsia="MTSY"/>
          <w:color w:val="FF0000"/>
        </w:rPr>
        <w:t>methylnorbelladine (</w:t>
      </w:r>
      <w:r w:rsidR="00A44962" w:rsidRPr="00FB26F9">
        <w:rPr>
          <w:rFonts w:eastAsia="MTSY"/>
          <w:color w:val="FF0000"/>
        </w:rPr>
        <w:t xml:space="preserve">Kilgore </w:t>
      </w:r>
      <w:r w:rsidR="00D2595E" w:rsidRPr="00FB26F9">
        <w:rPr>
          <w:rFonts w:eastAsia="MTSY"/>
          <w:color w:val="FF0000"/>
        </w:rPr>
        <w:t>et al.,</w:t>
      </w:r>
      <w:r w:rsidR="005A7AC7" w:rsidRPr="00FB26F9">
        <w:rPr>
          <w:rFonts w:eastAsia="MTSY"/>
          <w:color w:val="FF0000"/>
        </w:rPr>
        <w:t xml:space="preserve"> 2016b).</w:t>
      </w:r>
      <w:r w:rsidR="00FB2056" w:rsidRPr="00FB26F9">
        <w:rPr>
          <w:rFonts w:eastAsia="MTSY"/>
          <w:color w:val="FF0000"/>
        </w:rPr>
        <w:t xml:space="preserve"> </w:t>
      </w:r>
      <w:r w:rsidR="00A42BEC" w:rsidRPr="00FB26F9">
        <w:rPr>
          <w:rFonts w:eastAsia="MTSY"/>
          <w:color w:val="FF0000"/>
        </w:rPr>
        <w:t>P</w:t>
      </w:r>
      <w:r w:rsidR="00FB2056" w:rsidRPr="00FB26F9">
        <w:rPr>
          <w:rFonts w:eastAsia="MTSY"/>
          <w:color w:val="FF0000"/>
        </w:rPr>
        <w:t xml:space="preserve">utative genes </w:t>
      </w:r>
      <w:r w:rsidR="00A42BEC" w:rsidRPr="00FB26F9">
        <w:rPr>
          <w:rFonts w:eastAsia="MTSY"/>
          <w:color w:val="FF0000"/>
        </w:rPr>
        <w:t xml:space="preserve">such as </w:t>
      </w:r>
      <w:r w:rsidR="00A42BEC" w:rsidRPr="00FB26F9">
        <w:rPr>
          <w:rFonts w:eastAsia="MTSY"/>
          <w:i/>
          <w:color w:val="FF0000"/>
        </w:rPr>
        <w:t>PAL</w:t>
      </w:r>
      <w:r w:rsidR="00A42BEC" w:rsidRPr="00FB26F9">
        <w:rPr>
          <w:rFonts w:eastAsia="MTSY"/>
          <w:color w:val="FF0000"/>
        </w:rPr>
        <w:t xml:space="preserve">, </w:t>
      </w:r>
      <w:r w:rsidR="00A42BEC" w:rsidRPr="00FB26F9">
        <w:rPr>
          <w:rFonts w:eastAsia="MTSY"/>
          <w:i/>
          <w:color w:val="FF0000"/>
        </w:rPr>
        <w:t>TYDC</w:t>
      </w:r>
      <w:r w:rsidR="00A42BEC" w:rsidRPr="00FB26F9">
        <w:rPr>
          <w:rFonts w:eastAsia="MTSY"/>
          <w:color w:val="FF0000"/>
        </w:rPr>
        <w:t xml:space="preserve">, </w:t>
      </w:r>
      <w:r w:rsidR="00A42BEC" w:rsidRPr="00FB26F9">
        <w:rPr>
          <w:color w:val="FF0000"/>
        </w:rPr>
        <w:t>cytochrome P450</w:t>
      </w:r>
      <w:r w:rsidR="00887832" w:rsidRPr="00FB26F9">
        <w:rPr>
          <w:color w:val="FF0000"/>
        </w:rPr>
        <w:t>,</w:t>
      </w:r>
      <w:r w:rsidR="00A42BEC" w:rsidRPr="00FB26F9">
        <w:rPr>
          <w:color w:val="FF0000"/>
        </w:rPr>
        <w:t xml:space="preserve"> and </w:t>
      </w:r>
      <w:r w:rsidR="00A42BEC" w:rsidRPr="00FB26F9">
        <w:rPr>
          <w:i/>
          <w:color w:val="FF0000"/>
        </w:rPr>
        <w:t>Np</w:t>
      </w:r>
      <w:r w:rsidR="00A42BEC" w:rsidRPr="00FB26F9">
        <w:rPr>
          <w:color w:val="FF0000"/>
        </w:rPr>
        <w:t>N4OMT</w:t>
      </w:r>
      <w:r w:rsidR="00A42BEC" w:rsidRPr="00FB26F9">
        <w:rPr>
          <w:rFonts w:eastAsia="MTSY"/>
          <w:color w:val="FF0000"/>
        </w:rPr>
        <w:t xml:space="preserve"> were</w:t>
      </w:r>
      <w:r w:rsidR="00FB2056" w:rsidRPr="00FB26F9">
        <w:rPr>
          <w:rFonts w:eastAsia="MTSY"/>
          <w:color w:val="FF0000"/>
        </w:rPr>
        <w:t xml:space="preserve"> </w:t>
      </w:r>
      <w:r w:rsidR="00A42BEC" w:rsidRPr="00FB26F9">
        <w:rPr>
          <w:rFonts w:eastAsia="MTSY"/>
          <w:color w:val="FF0000"/>
        </w:rPr>
        <w:t>also reported to be expressed in</w:t>
      </w:r>
      <w:r w:rsidR="00FB2056" w:rsidRPr="00FB26F9">
        <w:rPr>
          <w:rFonts w:eastAsia="MTSY"/>
          <w:color w:val="FF0000"/>
        </w:rPr>
        <w:t xml:space="preserve"> </w:t>
      </w:r>
      <w:r w:rsidR="00A42BEC" w:rsidRPr="00FB26F9">
        <w:rPr>
          <w:rFonts w:eastAsia="MTSY"/>
          <w:color w:val="FF0000"/>
        </w:rPr>
        <w:t xml:space="preserve">diverse pattern in </w:t>
      </w:r>
      <w:r w:rsidR="00A42BEC" w:rsidRPr="00FB26F9">
        <w:rPr>
          <w:rFonts w:eastAsia="MTSY"/>
          <w:i/>
          <w:color w:val="FF0000"/>
        </w:rPr>
        <w:t>in vitro</w:t>
      </w:r>
      <w:r w:rsidR="00A42BEC" w:rsidRPr="00FB26F9">
        <w:rPr>
          <w:rFonts w:eastAsia="MTSY"/>
          <w:color w:val="FF0000"/>
        </w:rPr>
        <w:t xml:space="preserve"> tissues of </w:t>
      </w:r>
      <w:r w:rsidR="00A42BEC" w:rsidRPr="00FB26F9">
        <w:rPr>
          <w:rFonts w:eastAsia="MTSY"/>
          <w:i/>
          <w:color w:val="FF0000"/>
        </w:rPr>
        <w:t>N. pseudonarcissus</w:t>
      </w:r>
      <w:r w:rsidR="00A42BEC" w:rsidRPr="00FB26F9">
        <w:rPr>
          <w:rFonts w:eastAsia="MTSY"/>
          <w:color w:val="FF0000"/>
        </w:rPr>
        <w:t xml:space="preserve"> (Ferdausi et al., 2021b)</w:t>
      </w:r>
      <w:r w:rsidR="00A04D89" w:rsidRPr="00FB26F9">
        <w:rPr>
          <w:rFonts w:eastAsia="MTSY"/>
          <w:color w:val="FF0000"/>
        </w:rPr>
        <w:t>.</w:t>
      </w:r>
    </w:p>
    <w:p w:rsidR="00821E81" w:rsidRPr="00FB26F9" w:rsidRDefault="00F46FC7" w:rsidP="00287B9C">
      <w:pPr>
        <w:autoSpaceDE w:val="0"/>
        <w:autoSpaceDN w:val="0"/>
        <w:adjustRightInd w:val="0"/>
        <w:spacing w:line="480" w:lineRule="auto"/>
        <w:rPr>
          <w:rStyle w:val="apple-converted-space"/>
          <w:color w:val="FF0000"/>
        </w:rPr>
      </w:pPr>
      <w:r w:rsidRPr="00FB26F9">
        <w:rPr>
          <w:color w:val="FF0000"/>
        </w:rPr>
        <w:t>Next generation sequencing offers two approaches to</w:t>
      </w:r>
      <w:r w:rsidR="00884EB8" w:rsidRPr="00FB26F9">
        <w:rPr>
          <w:color w:val="FF0000"/>
        </w:rPr>
        <w:t xml:space="preserve"> transcriptome analysis in non-model </w:t>
      </w:r>
      <w:r w:rsidR="00FA247C" w:rsidRPr="00FB26F9">
        <w:rPr>
          <w:color w:val="FF0000"/>
        </w:rPr>
        <w:t xml:space="preserve">plants, </w:t>
      </w:r>
      <w:r w:rsidRPr="00FB26F9">
        <w:rPr>
          <w:color w:val="FF0000"/>
        </w:rPr>
        <w:t xml:space="preserve">the </w:t>
      </w:r>
      <w:r w:rsidRPr="00FB26F9">
        <w:rPr>
          <w:i/>
          <w:color w:val="FF0000"/>
        </w:rPr>
        <w:t>de novo</w:t>
      </w:r>
      <w:r w:rsidRPr="00FB26F9">
        <w:rPr>
          <w:color w:val="FF0000"/>
        </w:rPr>
        <w:t xml:space="preserve"> which involves assembly then alignment techniques, in the case of limited or absence of genomic or transcr</w:t>
      </w:r>
      <w:r w:rsidR="00884EB8" w:rsidRPr="00FB26F9">
        <w:rPr>
          <w:color w:val="FF0000"/>
        </w:rPr>
        <w:t>iptomic resources</w:t>
      </w:r>
      <w:r w:rsidR="00FA247C" w:rsidRPr="00FB26F9">
        <w:rPr>
          <w:color w:val="FF0000"/>
        </w:rPr>
        <w:t xml:space="preserve"> (Ward </w:t>
      </w:r>
      <w:r w:rsidR="00FA247C" w:rsidRPr="00FB26F9">
        <w:rPr>
          <w:bCs/>
          <w:iCs/>
          <w:color w:val="FF0000"/>
        </w:rPr>
        <w:t xml:space="preserve">et al., </w:t>
      </w:r>
      <w:r w:rsidR="00FA247C" w:rsidRPr="00FB26F9">
        <w:rPr>
          <w:color w:val="FF0000"/>
        </w:rPr>
        <w:t>2012)</w:t>
      </w:r>
      <w:r w:rsidR="00B045C0" w:rsidRPr="00FB26F9">
        <w:rPr>
          <w:color w:val="FF0000"/>
        </w:rPr>
        <w:t xml:space="preserve">. </w:t>
      </w:r>
      <w:r w:rsidR="00FA247C" w:rsidRPr="00FB26F9">
        <w:rPr>
          <w:color w:val="FF0000"/>
        </w:rPr>
        <w:t>And the</w:t>
      </w:r>
      <w:r w:rsidR="00884EB8" w:rsidRPr="00FB26F9">
        <w:rPr>
          <w:color w:val="FF0000"/>
        </w:rPr>
        <w:t xml:space="preserve"> </w:t>
      </w:r>
      <w:r w:rsidRPr="00FB26F9">
        <w:rPr>
          <w:color w:val="FF0000"/>
        </w:rPr>
        <w:t xml:space="preserve">mapping </w:t>
      </w:r>
      <w:r w:rsidR="00B045C0" w:rsidRPr="00FB26F9">
        <w:rPr>
          <w:color w:val="FF0000"/>
        </w:rPr>
        <w:t xml:space="preserve">which is </w:t>
      </w:r>
      <w:r w:rsidRPr="00FB26F9">
        <w:rPr>
          <w:color w:val="FF0000"/>
        </w:rPr>
        <w:t>based on aligning then assembling techniques that are completely dependent upon the existence of a reference genome or transcriptome (</w:t>
      </w:r>
      <w:r w:rsidR="00A44962" w:rsidRPr="00FB26F9">
        <w:rPr>
          <w:color w:val="FF0000"/>
        </w:rPr>
        <w:t xml:space="preserve">Haas and </w:t>
      </w:r>
      <w:proofErr w:type="spellStart"/>
      <w:r w:rsidR="00A44962" w:rsidRPr="00FB26F9">
        <w:rPr>
          <w:color w:val="FF0000"/>
        </w:rPr>
        <w:t>Zody</w:t>
      </w:r>
      <w:proofErr w:type="spellEnd"/>
      <w:r w:rsidR="00A42BEC" w:rsidRPr="00FB26F9">
        <w:rPr>
          <w:color w:val="FF0000"/>
        </w:rPr>
        <w:t>,</w:t>
      </w:r>
      <w:r w:rsidRPr="00FB26F9">
        <w:rPr>
          <w:color w:val="FF0000"/>
        </w:rPr>
        <w:t xml:space="preserve"> 2010). </w:t>
      </w:r>
      <w:r w:rsidR="00A42BEC" w:rsidRPr="00FB26F9">
        <w:rPr>
          <w:color w:val="FF0000"/>
        </w:rPr>
        <w:t>RNA-seq</w:t>
      </w:r>
      <w:r w:rsidR="00884EB8" w:rsidRPr="00FB26F9">
        <w:rPr>
          <w:color w:val="FF0000"/>
        </w:rPr>
        <w:t xml:space="preserve"> makes the tra</w:t>
      </w:r>
      <w:r w:rsidR="00A42BEC" w:rsidRPr="00FB26F9">
        <w:rPr>
          <w:color w:val="FF0000"/>
        </w:rPr>
        <w:t>nscriptomic experiments applicable</w:t>
      </w:r>
      <w:r w:rsidR="00884EB8" w:rsidRPr="00FB26F9">
        <w:rPr>
          <w:color w:val="FF0000"/>
        </w:rPr>
        <w:t xml:space="preserve"> for non-model plants where genomic resources are limited or completely unavailable (Xiao </w:t>
      </w:r>
      <w:r w:rsidR="00D2595E" w:rsidRPr="00FB26F9">
        <w:rPr>
          <w:bCs/>
          <w:iCs/>
          <w:color w:val="FF0000"/>
        </w:rPr>
        <w:t>et al.,</w:t>
      </w:r>
      <w:r w:rsidR="00884EB8" w:rsidRPr="00FB26F9">
        <w:rPr>
          <w:bCs/>
          <w:iCs/>
          <w:color w:val="FF0000"/>
        </w:rPr>
        <w:t xml:space="preserve"> </w:t>
      </w:r>
      <w:r w:rsidR="00884EB8" w:rsidRPr="00FB26F9">
        <w:rPr>
          <w:color w:val="FF0000"/>
        </w:rPr>
        <w:t>2013). It</w:t>
      </w:r>
      <w:r w:rsidRPr="00FB26F9">
        <w:rPr>
          <w:color w:val="FF0000"/>
        </w:rPr>
        <w:t xml:space="preserve"> offers a comprehensive understanding of transcriptome complexity (Kumar </w:t>
      </w:r>
      <w:r w:rsidR="00D2595E" w:rsidRPr="00FB26F9">
        <w:rPr>
          <w:bCs/>
          <w:iCs/>
          <w:color w:val="FF0000"/>
        </w:rPr>
        <w:t>et al.,</w:t>
      </w:r>
      <w:r w:rsidRPr="00FB26F9">
        <w:rPr>
          <w:bCs/>
          <w:iCs/>
          <w:color w:val="FF0000"/>
        </w:rPr>
        <w:t xml:space="preserve"> </w:t>
      </w:r>
      <w:r w:rsidRPr="00FB26F9">
        <w:rPr>
          <w:color w:val="FF0000"/>
        </w:rPr>
        <w:t xml:space="preserve">2012) and allows the investigation of a dynamic range of expression levels </w:t>
      </w:r>
      <w:r w:rsidR="00A42BEC" w:rsidRPr="00FB26F9">
        <w:rPr>
          <w:color w:val="FF0000"/>
        </w:rPr>
        <w:t xml:space="preserve">in non-model plant like </w:t>
      </w:r>
      <w:r w:rsidR="00A42BEC" w:rsidRPr="00FB26F9">
        <w:rPr>
          <w:i/>
          <w:color w:val="FF0000"/>
        </w:rPr>
        <w:t>Narcissus</w:t>
      </w:r>
      <w:r w:rsidR="00A42BEC" w:rsidRPr="00FB26F9">
        <w:rPr>
          <w:color w:val="FF0000"/>
        </w:rPr>
        <w:t xml:space="preserve"> </w:t>
      </w:r>
      <w:r w:rsidRPr="00FB26F9">
        <w:rPr>
          <w:color w:val="FF0000"/>
        </w:rPr>
        <w:t xml:space="preserve">(Wang </w:t>
      </w:r>
      <w:r w:rsidR="00D2595E" w:rsidRPr="00FB26F9">
        <w:rPr>
          <w:bCs/>
          <w:iCs/>
          <w:color w:val="FF0000"/>
        </w:rPr>
        <w:t>et al.,</w:t>
      </w:r>
      <w:r w:rsidRPr="00FB26F9">
        <w:rPr>
          <w:bCs/>
          <w:iCs/>
          <w:color w:val="FF0000"/>
        </w:rPr>
        <w:t xml:space="preserve"> </w:t>
      </w:r>
      <w:r w:rsidRPr="00FB26F9">
        <w:rPr>
          <w:color w:val="FF0000"/>
        </w:rPr>
        <w:t xml:space="preserve">2009). It can detect the expressed sequences in specific tissues at a </w:t>
      </w:r>
      <w:r w:rsidR="00A42BEC" w:rsidRPr="00FB26F9">
        <w:rPr>
          <w:color w:val="FF0000"/>
        </w:rPr>
        <w:t>specific time</w:t>
      </w:r>
      <w:r w:rsidRPr="00FB26F9">
        <w:rPr>
          <w:color w:val="FF0000"/>
        </w:rPr>
        <w:t xml:space="preserve">, as it does not require a reference genome to gain specific and meaningful transcriptomic information (Strickler </w:t>
      </w:r>
      <w:r w:rsidR="00D2595E" w:rsidRPr="00FB26F9">
        <w:rPr>
          <w:bCs/>
          <w:iCs/>
          <w:color w:val="FF0000"/>
        </w:rPr>
        <w:t>et al.,</w:t>
      </w:r>
      <w:r w:rsidRPr="00FB26F9">
        <w:rPr>
          <w:bCs/>
          <w:iCs/>
          <w:color w:val="FF0000"/>
        </w:rPr>
        <w:t xml:space="preserve"> </w:t>
      </w:r>
      <w:r w:rsidRPr="00FB26F9">
        <w:rPr>
          <w:color w:val="FF0000"/>
        </w:rPr>
        <w:t xml:space="preserve">2012; Egan </w:t>
      </w:r>
      <w:r w:rsidR="00D2595E" w:rsidRPr="00FB26F9">
        <w:rPr>
          <w:bCs/>
          <w:iCs/>
          <w:color w:val="FF0000"/>
        </w:rPr>
        <w:t>et al.,</w:t>
      </w:r>
      <w:r w:rsidRPr="00FB26F9">
        <w:rPr>
          <w:bCs/>
          <w:iCs/>
          <w:color w:val="FF0000"/>
        </w:rPr>
        <w:t xml:space="preserve"> </w:t>
      </w:r>
      <w:r w:rsidRPr="00FB26F9">
        <w:rPr>
          <w:color w:val="FF0000"/>
        </w:rPr>
        <w:t xml:space="preserve">2012). </w:t>
      </w:r>
      <w:r w:rsidR="00A42BEC" w:rsidRPr="00FB26F9">
        <w:rPr>
          <w:color w:val="FF0000"/>
        </w:rPr>
        <w:t>Otherwise, t</w:t>
      </w:r>
      <w:r w:rsidR="00663857" w:rsidRPr="00FB26F9">
        <w:rPr>
          <w:color w:val="FF0000"/>
        </w:rPr>
        <w:t xml:space="preserve">he reads obtained can be directly aligned with the reference, if genome or transcriptome information is available (Weber </w:t>
      </w:r>
      <w:r w:rsidR="00D2595E" w:rsidRPr="00FB26F9">
        <w:rPr>
          <w:bCs/>
          <w:iCs/>
          <w:color w:val="FF0000"/>
        </w:rPr>
        <w:t>et al.,</w:t>
      </w:r>
      <w:r w:rsidR="00663857" w:rsidRPr="00FB26F9">
        <w:rPr>
          <w:bCs/>
          <w:iCs/>
          <w:color w:val="FF0000"/>
        </w:rPr>
        <w:t xml:space="preserve"> </w:t>
      </w:r>
      <w:r w:rsidR="00663857" w:rsidRPr="00FB26F9">
        <w:rPr>
          <w:color w:val="FF0000"/>
        </w:rPr>
        <w:t xml:space="preserve">2007; Mortazavi </w:t>
      </w:r>
      <w:r w:rsidR="00D2595E" w:rsidRPr="00FB26F9">
        <w:rPr>
          <w:bCs/>
          <w:iCs/>
          <w:color w:val="FF0000"/>
        </w:rPr>
        <w:t>et al.,</w:t>
      </w:r>
      <w:r w:rsidR="00663857" w:rsidRPr="00FB26F9">
        <w:rPr>
          <w:bCs/>
          <w:iCs/>
          <w:color w:val="FF0000"/>
        </w:rPr>
        <w:t xml:space="preserve"> </w:t>
      </w:r>
      <w:r w:rsidR="00663857" w:rsidRPr="00FB26F9">
        <w:rPr>
          <w:color w:val="FF0000"/>
        </w:rPr>
        <w:t>200</w:t>
      </w:r>
      <w:r w:rsidRPr="00FB26F9">
        <w:rPr>
          <w:color w:val="FF0000"/>
        </w:rPr>
        <w:t xml:space="preserve">8) which </w:t>
      </w:r>
      <w:r w:rsidR="00A42BEC" w:rsidRPr="00FB26F9">
        <w:rPr>
          <w:color w:val="FF0000"/>
        </w:rPr>
        <w:t xml:space="preserve">also </w:t>
      </w:r>
      <w:r w:rsidRPr="00FB26F9">
        <w:rPr>
          <w:color w:val="FF0000"/>
        </w:rPr>
        <w:t xml:space="preserve">has been </w:t>
      </w:r>
      <w:r w:rsidR="00663857" w:rsidRPr="00FB26F9">
        <w:rPr>
          <w:color w:val="FF0000"/>
        </w:rPr>
        <w:t>extensiv</w:t>
      </w:r>
      <w:r w:rsidRPr="00FB26F9">
        <w:rPr>
          <w:color w:val="FF0000"/>
        </w:rPr>
        <w:t>ely used for non-model plants</w:t>
      </w:r>
      <w:r w:rsidR="00663857" w:rsidRPr="00FB26F9">
        <w:rPr>
          <w:color w:val="FF0000"/>
        </w:rPr>
        <w:t xml:space="preserve"> in the absence of genome or transcriptome information by transcript reconstruction using </w:t>
      </w:r>
      <w:r w:rsidR="00663857" w:rsidRPr="00FB26F9">
        <w:rPr>
          <w:i/>
          <w:color w:val="FF0000"/>
        </w:rPr>
        <w:t>de novo</w:t>
      </w:r>
      <w:r w:rsidR="00663857" w:rsidRPr="00FB26F9">
        <w:rPr>
          <w:color w:val="FF0000"/>
        </w:rPr>
        <w:t xml:space="preserve"> assembly (Wang </w:t>
      </w:r>
      <w:r w:rsidR="00D2595E" w:rsidRPr="00FB26F9">
        <w:rPr>
          <w:bCs/>
          <w:iCs/>
          <w:color w:val="FF0000"/>
        </w:rPr>
        <w:t>et al.,</w:t>
      </w:r>
      <w:r w:rsidR="00663857" w:rsidRPr="00FB26F9">
        <w:rPr>
          <w:bCs/>
          <w:iCs/>
          <w:color w:val="FF0000"/>
        </w:rPr>
        <w:t xml:space="preserve"> </w:t>
      </w:r>
      <w:r w:rsidR="00663857" w:rsidRPr="00FB26F9">
        <w:rPr>
          <w:color w:val="FF0000"/>
        </w:rPr>
        <w:t xml:space="preserve">2013, Kilgore </w:t>
      </w:r>
      <w:r w:rsidR="00D2595E" w:rsidRPr="00FB26F9">
        <w:rPr>
          <w:bCs/>
          <w:iCs/>
          <w:color w:val="FF0000"/>
        </w:rPr>
        <w:t>et al.,</w:t>
      </w:r>
      <w:r w:rsidR="00663857" w:rsidRPr="00FB26F9">
        <w:rPr>
          <w:bCs/>
          <w:iCs/>
          <w:color w:val="FF0000"/>
        </w:rPr>
        <w:t xml:space="preserve"> </w:t>
      </w:r>
      <w:r w:rsidR="00663857" w:rsidRPr="00FB26F9">
        <w:rPr>
          <w:color w:val="FF0000"/>
        </w:rPr>
        <w:t>2014). It provides the capability to discover new genes and transcripts</w:t>
      </w:r>
      <w:r w:rsidR="00FA247C" w:rsidRPr="00FB26F9">
        <w:rPr>
          <w:color w:val="FF0000"/>
        </w:rPr>
        <w:t>,</w:t>
      </w:r>
      <w:r w:rsidR="00663857" w:rsidRPr="00FB26F9">
        <w:rPr>
          <w:color w:val="FF0000"/>
        </w:rPr>
        <w:t xml:space="preserve"> and allows measurement of transcript expression in a single assay (Trapnell </w:t>
      </w:r>
      <w:r w:rsidR="00D2595E" w:rsidRPr="00FB26F9">
        <w:rPr>
          <w:bCs/>
          <w:iCs/>
          <w:color w:val="FF0000"/>
        </w:rPr>
        <w:t>et al.,</w:t>
      </w:r>
      <w:r w:rsidR="00663857" w:rsidRPr="00FB26F9">
        <w:rPr>
          <w:bCs/>
          <w:iCs/>
          <w:color w:val="FF0000"/>
        </w:rPr>
        <w:t xml:space="preserve"> </w:t>
      </w:r>
      <w:r w:rsidR="00663857" w:rsidRPr="00FB26F9">
        <w:rPr>
          <w:color w:val="FF0000"/>
        </w:rPr>
        <w:t xml:space="preserve">2012; Nagalakshmi </w:t>
      </w:r>
      <w:r w:rsidR="00D2595E" w:rsidRPr="00FB26F9">
        <w:rPr>
          <w:bCs/>
          <w:iCs/>
          <w:color w:val="FF0000"/>
        </w:rPr>
        <w:t>et al.,</w:t>
      </w:r>
      <w:r w:rsidR="00663857" w:rsidRPr="00FB26F9">
        <w:rPr>
          <w:bCs/>
          <w:iCs/>
          <w:color w:val="FF0000"/>
        </w:rPr>
        <w:t xml:space="preserve"> </w:t>
      </w:r>
      <w:r w:rsidR="00663857" w:rsidRPr="00FB26F9">
        <w:rPr>
          <w:color w:val="FF0000"/>
        </w:rPr>
        <w:t xml:space="preserve">2008). </w:t>
      </w:r>
      <w:r w:rsidRPr="00FB26F9">
        <w:rPr>
          <w:color w:val="FF0000"/>
        </w:rPr>
        <w:t xml:space="preserve">Implementation of RNA-seq can sometimes be challenging in plants because of their complex structures, complicated genetic make-up, and lack of genomic resources (Strickler </w:t>
      </w:r>
      <w:r w:rsidR="00D2595E" w:rsidRPr="00FB26F9">
        <w:rPr>
          <w:bCs/>
          <w:iCs/>
          <w:color w:val="FF0000"/>
        </w:rPr>
        <w:t>et al.,</w:t>
      </w:r>
      <w:r w:rsidRPr="00FB26F9">
        <w:rPr>
          <w:bCs/>
          <w:iCs/>
          <w:color w:val="FF0000"/>
        </w:rPr>
        <w:t xml:space="preserve"> </w:t>
      </w:r>
      <w:r w:rsidR="00287B9C" w:rsidRPr="00FB26F9">
        <w:rPr>
          <w:color w:val="FF0000"/>
        </w:rPr>
        <w:t xml:space="preserve">2012). </w:t>
      </w:r>
      <w:r w:rsidRPr="00FB26F9">
        <w:rPr>
          <w:color w:val="FF0000"/>
          <w:shd w:val="clear" w:color="auto" w:fill="FFFFFF"/>
        </w:rPr>
        <w:t>The biosynthetic genes involved in plant secondary metabolism are mainly structured in complex enzymatic networks yielding several compounds rather than simple linear schemes leading to a single compound. Thus, the discovery of the b</w:t>
      </w:r>
      <w:r w:rsidR="00F81500" w:rsidRPr="00FB26F9">
        <w:rPr>
          <w:color w:val="FF0000"/>
          <w:shd w:val="clear" w:color="auto" w:fill="FFFFFF"/>
        </w:rPr>
        <w:t>iosynthetic genes involved in the</w:t>
      </w:r>
      <w:r w:rsidRPr="00FB26F9">
        <w:rPr>
          <w:color w:val="FF0000"/>
          <w:shd w:val="clear" w:color="auto" w:fill="FFFFFF"/>
        </w:rPr>
        <w:t xml:space="preserve"> production</w:t>
      </w:r>
      <w:r w:rsidR="00F81500" w:rsidRPr="00FB26F9">
        <w:rPr>
          <w:color w:val="FF0000"/>
          <w:shd w:val="clear" w:color="auto" w:fill="FFFFFF"/>
        </w:rPr>
        <w:t xml:space="preserve"> of secondary compounds becomes more challenging</w:t>
      </w:r>
      <w:r w:rsidRPr="00FB26F9">
        <w:rPr>
          <w:color w:val="FF0000"/>
          <w:shd w:val="clear" w:color="auto" w:fill="FFFFFF"/>
        </w:rPr>
        <w:t xml:space="preserve"> (</w:t>
      </w:r>
      <w:hyperlink r:id="rId10" w:anchor="bib0105" w:history="1">
        <w:r w:rsidRPr="00FB26F9">
          <w:rPr>
            <w:rStyle w:val="Hyperlink"/>
            <w:color w:val="FF0000"/>
            <w:u w:val="none"/>
            <w:bdr w:val="none" w:sz="0" w:space="0" w:color="auto" w:frame="1"/>
            <w:shd w:val="clear" w:color="auto" w:fill="FFFFFF"/>
          </w:rPr>
          <w:t xml:space="preserve">Hall </w:t>
        </w:r>
        <w:r w:rsidR="00D2595E" w:rsidRPr="00FB26F9">
          <w:rPr>
            <w:color w:val="FF0000"/>
          </w:rPr>
          <w:t>et al.,</w:t>
        </w:r>
        <w:r w:rsidRPr="00FB26F9">
          <w:rPr>
            <w:color w:val="FF0000"/>
          </w:rPr>
          <w:t xml:space="preserve"> </w:t>
        </w:r>
        <w:r w:rsidRPr="00FB26F9">
          <w:rPr>
            <w:rStyle w:val="Hyperlink"/>
            <w:color w:val="FF0000"/>
            <w:u w:val="none"/>
            <w:bdr w:val="none" w:sz="0" w:space="0" w:color="auto" w:frame="1"/>
            <w:shd w:val="clear" w:color="auto" w:fill="FFFFFF"/>
          </w:rPr>
          <w:t>2013</w:t>
        </w:r>
      </w:hyperlink>
      <w:r w:rsidRPr="00FB26F9">
        <w:rPr>
          <w:color w:val="FF0000"/>
          <w:shd w:val="clear" w:color="auto" w:fill="FFFFFF"/>
        </w:rPr>
        <w:t xml:space="preserve">). Furthermore, </w:t>
      </w:r>
      <w:r w:rsidRPr="00FB26F9">
        <w:rPr>
          <w:color w:val="FF0000"/>
          <w:shd w:val="clear" w:color="auto" w:fill="FFFFFF"/>
        </w:rPr>
        <w:lastRenderedPageBreak/>
        <w:t>limited genomic resources are available</w:t>
      </w:r>
      <w:r w:rsidR="00F81500" w:rsidRPr="00FB26F9">
        <w:rPr>
          <w:color w:val="FF0000"/>
          <w:shd w:val="clear" w:color="auto" w:fill="FFFFFF"/>
        </w:rPr>
        <w:t xml:space="preserve"> for the most valuable specializ</w:t>
      </w:r>
      <w:r w:rsidRPr="00FB26F9">
        <w:rPr>
          <w:color w:val="FF0000"/>
          <w:shd w:val="clear" w:color="auto" w:fill="FFFFFF"/>
        </w:rPr>
        <w:t>ed metabolites, and generally in non-</w:t>
      </w:r>
      <w:r w:rsidR="00F81500" w:rsidRPr="00FB26F9">
        <w:rPr>
          <w:color w:val="FF0000"/>
          <w:shd w:val="clear" w:color="auto" w:fill="FFFFFF"/>
        </w:rPr>
        <w:t>model plant species such as</w:t>
      </w:r>
      <w:r w:rsidRPr="00FB26F9">
        <w:rPr>
          <w:color w:val="FF0000"/>
          <w:shd w:val="clear" w:color="auto" w:fill="FFFFFF"/>
        </w:rPr>
        <w:t xml:space="preserve"> </w:t>
      </w:r>
      <w:r w:rsidRPr="00FB26F9">
        <w:rPr>
          <w:i/>
          <w:color w:val="FF0000"/>
          <w:shd w:val="clear" w:color="auto" w:fill="FFFFFF"/>
        </w:rPr>
        <w:t>Narcissus</w:t>
      </w:r>
      <w:r w:rsidRPr="00FB26F9">
        <w:rPr>
          <w:color w:val="FF0000"/>
          <w:shd w:val="clear" w:color="auto" w:fill="FFFFFF"/>
        </w:rPr>
        <w:t xml:space="preserve"> (Strickler </w:t>
      </w:r>
      <w:r w:rsidR="00D2595E" w:rsidRPr="00FB26F9">
        <w:rPr>
          <w:color w:val="FF0000"/>
        </w:rPr>
        <w:t>et al.,</w:t>
      </w:r>
      <w:r w:rsidRPr="00FB26F9">
        <w:rPr>
          <w:color w:val="FF0000"/>
        </w:rPr>
        <w:t xml:space="preserve"> </w:t>
      </w:r>
      <w:r w:rsidRPr="00FB26F9">
        <w:rPr>
          <w:color w:val="FF0000"/>
          <w:shd w:val="clear" w:color="auto" w:fill="FFFFFF"/>
        </w:rPr>
        <w:t>2012).</w:t>
      </w:r>
      <w:r w:rsidRPr="00FB26F9">
        <w:rPr>
          <w:rStyle w:val="apple-converted-space"/>
          <w:color w:val="FF0000"/>
          <w:shd w:val="clear" w:color="auto" w:fill="FFFFFF"/>
        </w:rPr>
        <w:t> </w:t>
      </w:r>
    </w:p>
    <w:p w:rsidR="00E566D8" w:rsidRPr="00306308" w:rsidRDefault="00821E81" w:rsidP="009106AE">
      <w:pPr>
        <w:spacing w:line="480" w:lineRule="auto"/>
      </w:pPr>
      <w:r w:rsidRPr="00FB26F9">
        <w:rPr>
          <w:rStyle w:val="apple-converted-space"/>
          <w:color w:val="FF0000"/>
          <w:shd w:val="clear" w:color="auto" w:fill="FFFFFF"/>
        </w:rPr>
        <w:t>In our previo</w:t>
      </w:r>
      <w:r w:rsidR="00E73003" w:rsidRPr="00FB26F9">
        <w:rPr>
          <w:rStyle w:val="apple-converted-space"/>
          <w:color w:val="FF0000"/>
          <w:shd w:val="clear" w:color="auto" w:fill="FFFFFF"/>
        </w:rPr>
        <w:t>us finding,</w:t>
      </w:r>
      <w:r w:rsidRPr="00FB26F9">
        <w:rPr>
          <w:rStyle w:val="apple-converted-space"/>
          <w:color w:val="FF0000"/>
          <w:shd w:val="clear" w:color="auto" w:fill="FFFFFF"/>
        </w:rPr>
        <w:t xml:space="preserve"> the </w:t>
      </w:r>
      <w:r w:rsidRPr="00FB26F9">
        <w:rPr>
          <w:rStyle w:val="apple-converted-space"/>
          <w:i/>
          <w:color w:val="FF0000"/>
          <w:shd w:val="clear" w:color="auto" w:fill="FFFFFF"/>
        </w:rPr>
        <w:t>N. pseudonarcissus</w:t>
      </w:r>
      <w:r w:rsidRPr="00FB26F9">
        <w:rPr>
          <w:rStyle w:val="apple-converted-space"/>
          <w:color w:val="FF0000"/>
          <w:shd w:val="clear" w:color="auto" w:fill="FFFFFF"/>
        </w:rPr>
        <w:t xml:space="preserve"> cv. Carlton bulb (basal plate) tissue exhibited </w:t>
      </w:r>
      <w:r w:rsidR="00FA247C" w:rsidRPr="00FB26F9">
        <w:rPr>
          <w:rStyle w:val="apple-converted-space"/>
          <w:color w:val="FF0000"/>
          <w:shd w:val="clear" w:color="auto" w:fill="FFFFFF"/>
        </w:rPr>
        <w:t xml:space="preserve">the </w:t>
      </w:r>
      <w:r w:rsidRPr="00FB26F9">
        <w:rPr>
          <w:rStyle w:val="apple-converted-space"/>
          <w:color w:val="FF0000"/>
          <w:shd w:val="clear" w:color="auto" w:fill="FFFFFF"/>
        </w:rPr>
        <w:t xml:space="preserve">high galanthamine content while </w:t>
      </w:r>
      <w:r w:rsidRPr="00FB26F9">
        <w:rPr>
          <w:rStyle w:val="apple-converted-space"/>
          <w:i/>
          <w:color w:val="FF0000"/>
          <w:shd w:val="clear" w:color="auto" w:fill="FFFFFF"/>
        </w:rPr>
        <w:t>in vitro</w:t>
      </w:r>
      <w:r w:rsidRPr="00FB26F9">
        <w:rPr>
          <w:rStyle w:val="apple-converted-space"/>
          <w:color w:val="FF0000"/>
          <w:shd w:val="clear" w:color="auto" w:fill="FFFFFF"/>
        </w:rPr>
        <w:t xml:space="preserve"> callus was the lowest galanthamine producer (Ferdausi at al., 2020). Furt</w:t>
      </w:r>
      <w:r w:rsidR="00FA247C" w:rsidRPr="00FB26F9">
        <w:rPr>
          <w:rStyle w:val="apple-converted-space"/>
          <w:color w:val="FF0000"/>
          <w:shd w:val="clear" w:color="auto" w:fill="FFFFFF"/>
        </w:rPr>
        <w:t xml:space="preserve">hermore, it was </w:t>
      </w:r>
      <w:r w:rsidR="00E73003" w:rsidRPr="00FB26F9">
        <w:rPr>
          <w:rStyle w:val="apple-converted-space"/>
          <w:color w:val="FF0000"/>
          <w:shd w:val="clear" w:color="auto" w:fill="FFFFFF"/>
        </w:rPr>
        <w:t>observed</w:t>
      </w:r>
      <w:r w:rsidRPr="00FB26F9">
        <w:rPr>
          <w:rStyle w:val="apple-converted-space"/>
          <w:color w:val="FF0000"/>
          <w:shd w:val="clear" w:color="auto" w:fill="FFFFFF"/>
        </w:rPr>
        <w:t xml:space="preserve"> that the putative genes for the production of alkaloids were highly expressed in field samples than the </w:t>
      </w:r>
      <w:r w:rsidRPr="00FB26F9">
        <w:rPr>
          <w:rStyle w:val="apple-converted-space"/>
          <w:i/>
          <w:color w:val="FF0000"/>
          <w:shd w:val="clear" w:color="auto" w:fill="FFFFFF"/>
        </w:rPr>
        <w:t>in vitro</w:t>
      </w:r>
      <w:r w:rsidRPr="00FB26F9">
        <w:rPr>
          <w:rStyle w:val="apple-converted-space"/>
          <w:color w:val="FF0000"/>
          <w:shd w:val="clear" w:color="auto" w:fill="FFFFFF"/>
        </w:rPr>
        <w:t xml:space="preserve"> samples (Ferdausi et al., 2021b). </w:t>
      </w:r>
      <w:r w:rsidR="00086AD5" w:rsidRPr="00FB26F9">
        <w:rPr>
          <w:color w:val="FF0000"/>
        </w:rPr>
        <w:t xml:space="preserve">Therefore, </w:t>
      </w:r>
      <w:r w:rsidR="00884EB8" w:rsidRPr="00FB26F9">
        <w:rPr>
          <w:color w:val="FF0000"/>
        </w:rPr>
        <w:t xml:space="preserve">a </w:t>
      </w:r>
      <w:r w:rsidR="00086AD5" w:rsidRPr="00FB26F9">
        <w:rPr>
          <w:color w:val="FF0000"/>
        </w:rPr>
        <w:t xml:space="preserve">comprehensive </w:t>
      </w:r>
      <w:r w:rsidR="00884EB8" w:rsidRPr="00FB26F9">
        <w:rPr>
          <w:color w:val="FF0000"/>
        </w:rPr>
        <w:t xml:space="preserve">transcriptomic </w:t>
      </w:r>
      <w:r w:rsidR="00C3230E" w:rsidRPr="00FB26F9">
        <w:rPr>
          <w:color w:val="FF0000"/>
        </w:rPr>
        <w:t>analysis of tissues derived</w:t>
      </w:r>
      <w:r w:rsidR="00884EB8" w:rsidRPr="00FB26F9">
        <w:rPr>
          <w:color w:val="FF0000"/>
        </w:rPr>
        <w:t xml:space="preserve"> from natural (basal plate) and </w:t>
      </w:r>
      <w:r w:rsidR="00884EB8" w:rsidRPr="00FB26F9">
        <w:rPr>
          <w:i/>
          <w:color w:val="FF0000"/>
        </w:rPr>
        <w:t>in vitro</w:t>
      </w:r>
      <w:r w:rsidR="00884EB8" w:rsidRPr="00FB26F9">
        <w:rPr>
          <w:color w:val="FF0000"/>
        </w:rPr>
        <w:t xml:space="preserve"> (callus) conditions would provide a</w:t>
      </w:r>
      <w:r w:rsidR="00086AD5" w:rsidRPr="00FB26F9">
        <w:rPr>
          <w:color w:val="FF0000"/>
        </w:rPr>
        <w:t xml:space="preserve"> bet</w:t>
      </w:r>
      <w:bookmarkStart w:id="0" w:name="_GoBack"/>
      <w:bookmarkEnd w:id="0"/>
      <w:r w:rsidR="00086AD5" w:rsidRPr="00FB26F9">
        <w:rPr>
          <w:color w:val="FF0000"/>
        </w:rPr>
        <w:t>ter understanding</w:t>
      </w:r>
      <w:r w:rsidR="00F81500" w:rsidRPr="00FB26F9">
        <w:rPr>
          <w:color w:val="FF0000"/>
        </w:rPr>
        <w:t xml:space="preserve"> on</w:t>
      </w:r>
      <w:r w:rsidR="00884EB8" w:rsidRPr="00FB26F9">
        <w:rPr>
          <w:color w:val="FF0000"/>
        </w:rPr>
        <w:t xml:space="preserve"> the </w:t>
      </w:r>
      <w:r w:rsidR="00F81500" w:rsidRPr="00FB26F9">
        <w:rPr>
          <w:color w:val="FF0000"/>
        </w:rPr>
        <w:t xml:space="preserve">differential expressions of genes involved in the </w:t>
      </w:r>
      <w:r w:rsidR="00884EB8" w:rsidRPr="00FB26F9">
        <w:rPr>
          <w:color w:val="FF0000"/>
        </w:rPr>
        <w:t>biosynthesis of secondary</w:t>
      </w:r>
      <w:r w:rsidR="00086AD5" w:rsidRPr="00FB26F9">
        <w:rPr>
          <w:color w:val="FF0000"/>
        </w:rPr>
        <w:t xml:space="preserve"> metabolites</w:t>
      </w:r>
      <w:r w:rsidR="00C3230E" w:rsidRPr="00FB26F9">
        <w:rPr>
          <w:color w:val="FF0000"/>
        </w:rPr>
        <w:t xml:space="preserve"> in </w:t>
      </w:r>
      <w:r w:rsidR="00C3230E" w:rsidRPr="00FB26F9">
        <w:rPr>
          <w:i/>
          <w:color w:val="FF0000"/>
        </w:rPr>
        <w:t>Narcissus</w:t>
      </w:r>
      <w:r w:rsidR="00C3230E" w:rsidRPr="00FB26F9">
        <w:rPr>
          <w:color w:val="FF0000"/>
        </w:rPr>
        <w:t>.</w:t>
      </w:r>
    </w:p>
    <w:p w:rsidR="00663857" w:rsidRPr="00145167" w:rsidRDefault="00145167" w:rsidP="00145167">
      <w:pPr>
        <w:pStyle w:val="ListParagraph"/>
        <w:numPr>
          <w:ilvl w:val="0"/>
          <w:numId w:val="8"/>
        </w:numPr>
        <w:spacing w:line="480" w:lineRule="auto"/>
        <w:ind w:left="284" w:hanging="284"/>
        <w:rPr>
          <w:sz w:val="24"/>
          <w:szCs w:val="24"/>
        </w:rPr>
      </w:pPr>
      <w:r w:rsidRPr="00145167">
        <w:rPr>
          <w:b/>
          <w:sz w:val="24"/>
          <w:szCs w:val="24"/>
        </w:rPr>
        <w:t>Materials and M</w:t>
      </w:r>
      <w:r w:rsidR="00E566D8" w:rsidRPr="00145167">
        <w:rPr>
          <w:b/>
          <w:sz w:val="24"/>
          <w:szCs w:val="24"/>
        </w:rPr>
        <w:t>ethods</w:t>
      </w:r>
    </w:p>
    <w:p w:rsidR="00033F3C" w:rsidRPr="00145167" w:rsidRDefault="00145167" w:rsidP="00145167">
      <w:pPr>
        <w:spacing w:line="480" w:lineRule="auto"/>
        <w:rPr>
          <w:i/>
        </w:rPr>
      </w:pPr>
      <w:r w:rsidRPr="00145167">
        <w:rPr>
          <w:i/>
        </w:rPr>
        <w:t xml:space="preserve">2. 1 </w:t>
      </w:r>
      <w:r w:rsidR="00D2595E">
        <w:rPr>
          <w:i/>
        </w:rPr>
        <w:t>Plant t</w:t>
      </w:r>
      <w:r w:rsidR="00A93FBC" w:rsidRPr="00145167">
        <w:rPr>
          <w:i/>
        </w:rPr>
        <w:t>issue</w:t>
      </w:r>
      <w:r w:rsidR="002E214A" w:rsidRPr="00145167">
        <w:rPr>
          <w:i/>
        </w:rPr>
        <w:t>s</w:t>
      </w:r>
      <w:r w:rsidR="00D2595E">
        <w:rPr>
          <w:i/>
        </w:rPr>
        <w:t xml:space="preserve"> and c</w:t>
      </w:r>
      <w:r w:rsidR="00A93FBC" w:rsidRPr="00145167">
        <w:rPr>
          <w:i/>
        </w:rPr>
        <w:t>hemicals</w:t>
      </w:r>
    </w:p>
    <w:p w:rsidR="00033F3C" w:rsidRPr="00145167" w:rsidRDefault="008766E8" w:rsidP="00145167">
      <w:pPr>
        <w:spacing w:line="480" w:lineRule="auto"/>
      </w:pPr>
      <w:r w:rsidRPr="00145167">
        <w:t>Basal plate</w:t>
      </w:r>
      <w:r w:rsidR="00A40C93" w:rsidRPr="00145167">
        <w:t xml:space="preserve"> tissues</w:t>
      </w:r>
      <w:r w:rsidR="002E214A" w:rsidRPr="00145167">
        <w:t xml:space="preserve"> (</w:t>
      </w:r>
      <w:r w:rsidR="00A44962" w:rsidRPr="00145167">
        <w:t xml:space="preserve">Ferdausi </w:t>
      </w:r>
      <w:r w:rsidR="00D2595E">
        <w:t>et al.,</w:t>
      </w:r>
      <w:r w:rsidR="002E214A" w:rsidRPr="00145167">
        <w:t xml:space="preserve"> 2020)  of</w:t>
      </w:r>
      <w:r w:rsidR="00A40C93" w:rsidRPr="00145167">
        <w:t xml:space="preserve"> </w:t>
      </w:r>
      <w:r w:rsidRPr="00145167">
        <w:rPr>
          <w:i/>
        </w:rPr>
        <w:t>Narcissus pseudonarcissus</w:t>
      </w:r>
      <w:r w:rsidRPr="00145167">
        <w:t xml:space="preserve"> cv. Carlton bulb</w:t>
      </w:r>
      <w:r w:rsidR="00A40C93" w:rsidRPr="00145167">
        <w:t>s</w:t>
      </w:r>
      <w:r w:rsidRPr="00145167">
        <w:t xml:space="preserve"> supplied by New Generation Daffodil Ltd, UK and callus </w:t>
      </w:r>
      <w:r w:rsidR="00A40C93" w:rsidRPr="00145167">
        <w:t>(</w:t>
      </w:r>
      <w:r w:rsidR="00A44962" w:rsidRPr="00145167">
        <w:t xml:space="preserve">Ferdausi </w:t>
      </w:r>
      <w:r w:rsidR="00D2595E">
        <w:t>et al.,</w:t>
      </w:r>
      <w:r w:rsidR="00A40C93" w:rsidRPr="00145167">
        <w:t xml:space="preserve"> 2020) </w:t>
      </w:r>
      <w:r w:rsidRPr="00145167">
        <w:t xml:space="preserve">from the same </w:t>
      </w:r>
      <w:r w:rsidR="00DE43B3" w:rsidRPr="00145167">
        <w:t>bulb</w:t>
      </w:r>
      <w:r w:rsidR="00A40C93" w:rsidRPr="00145167">
        <w:t xml:space="preserve">s (twin-scale explants) </w:t>
      </w:r>
      <w:r w:rsidR="00DE43B3" w:rsidRPr="00145167">
        <w:t>grown on MS</w:t>
      </w:r>
      <w:r w:rsidR="005263F9" w:rsidRPr="00145167">
        <w:t xml:space="preserve"> (</w:t>
      </w:r>
      <w:r w:rsidR="00A44962" w:rsidRPr="00145167">
        <w:t>Murashige and Skoog</w:t>
      </w:r>
      <w:r w:rsidR="00C509FC">
        <w:t>,</w:t>
      </w:r>
      <w:r w:rsidR="005263F9" w:rsidRPr="00145167">
        <w:t xml:space="preserve"> 1962)</w:t>
      </w:r>
      <w:r w:rsidR="00DE43B3" w:rsidRPr="00145167">
        <w:t xml:space="preserve"> basal medium supplemented with 100 mg/l yeast extract, 50 mg/l ascorbic acid, 30 mg/l polyvinylpy</w:t>
      </w:r>
      <w:r w:rsidR="00A93FBC" w:rsidRPr="00145167">
        <w:t>rrolidone</w:t>
      </w:r>
      <w:r w:rsidR="00DE43B3" w:rsidRPr="00145167">
        <w:t xml:space="preserve">, 0.5 mg/l kinetin (KN), 1.5 mg/l benzyl amino purine (BAP) and 20 mg/l naphthalene acetic acid (NAA) were used for RNA extraction. </w:t>
      </w:r>
      <w:r w:rsidR="00033F3C" w:rsidRPr="00145167">
        <w:t>Basal plates and calli were cut into small pieces (1 to 2 mm thick), weighed (~150 mg) and stored in -80</w:t>
      </w:r>
      <w:r w:rsidR="00033F3C" w:rsidRPr="00145167">
        <w:rPr>
          <w:vertAlign w:val="superscript"/>
        </w:rPr>
        <w:t>o</w:t>
      </w:r>
      <w:r w:rsidR="00033F3C" w:rsidRPr="00145167">
        <w:t>C until required.</w:t>
      </w:r>
      <w:r w:rsidR="00DE43B3" w:rsidRPr="00145167">
        <w:t xml:space="preserve"> </w:t>
      </w:r>
      <w:r w:rsidR="00522B23" w:rsidRPr="00145167">
        <w:t xml:space="preserve">The frozen tissues were ground in a pestle and mortar under liquid nitrogen to achieve fine powder of tissues. After grinding, ~100 mg of sample was transferred into 1.5 ml microfuge tubes and kept in liquid nitrogen to avoid thawing. </w:t>
      </w:r>
      <w:r w:rsidR="00DE43B3" w:rsidRPr="00145167">
        <w:t>MS media, ascorbic ac</w:t>
      </w:r>
      <w:r w:rsidR="00A93FBC" w:rsidRPr="00145167">
        <w:t>id, KN, BAP and NAA</w:t>
      </w:r>
      <w:r w:rsidR="00DE43B3" w:rsidRPr="00145167">
        <w:t xml:space="preserve"> were purchased from </w:t>
      </w:r>
      <w:proofErr w:type="spellStart"/>
      <w:r w:rsidR="00DE43B3" w:rsidRPr="00145167">
        <w:t>Duchefa</w:t>
      </w:r>
      <w:proofErr w:type="spellEnd"/>
      <w:r w:rsidR="00DE43B3" w:rsidRPr="00145167">
        <w:t xml:space="preserve"> Biochemie (Netherlands), polyvinylpyrrolidone from Sigma-Aldrich (UK) and yeast extract from Thermo Scientific</w:t>
      </w:r>
      <w:r w:rsidR="00A93FBC" w:rsidRPr="00145167">
        <w:t xml:space="preserve"> </w:t>
      </w:r>
      <w:r w:rsidR="00DE43B3" w:rsidRPr="00145167">
        <w:t>(Germany).</w:t>
      </w:r>
    </w:p>
    <w:p w:rsidR="006B7A98" w:rsidRPr="00145167" w:rsidRDefault="00145167" w:rsidP="00145167">
      <w:pPr>
        <w:spacing w:line="480" w:lineRule="auto"/>
        <w:rPr>
          <w:i/>
        </w:rPr>
      </w:pPr>
      <w:r w:rsidRPr="00145167">
        <w:rPr>
          <w:i/>
        </w:rPr>
        <w:t xml:space="preserve">2.2 </w:t>
      </w:r>
      <w:r>
        <w:rPr>
          <w:i/>
        </w:rPr>
        <w:t>Library preparation and I</w:t>
      </w:r>
      <w:r w:rsidRPr="00145167">
        <w:rPr>
          <w:i/>
        </w:rPr>
        <w:t>llumina</w:t>
      </w:r>
      <w:r>
        <w:rPr>
          <w:i/>
        </w:rPr>
        <w:t xml:space="preserve"> s</w:t>
      </w:r>
      <w:r w:rsidR="00A93FBC" w:rsidRPr="00145167">
        <w:rPr>
          <w:i/>
        </w:rPr>
        <w:t>equencing</w:t>
      </w:r>
    </w:p>
    <w:p w:rsidR="00033F3C" w:rsidRPr="00145167" w:rsidRDefault="00522B23" w:rsidP="00145167">
      <w:pPr>
        <w:spacing w:line="480" w:lineRule="auto"/>
        <w:rPr>
          <w:b/>
        </w:rPr>
      </w:pPr>
      <w:r w:rsidRPr="00145167">
        <w:lastRenderedPageBreak/>
        <w:t>Total RNA was extracted using t</w:t>
      </w:r>
      <w:r w:rsidR="00E73FB8" w:rsidRPr="00145167">
        <w:t>he innuPREP Plant RNA Kit (Analytic Jena, Germany) according to manufacturer’s protocol with</w:t>
      </w:r>
      <w:r w:rsidRPr="00145167">
        <w:t xml:space="preserve"> slight modification</w:t>
      </w:r>
      <w:r w:rsidR="00033F3C" w:rsidRPr="00145167">
        <w:t xml:space="preserve"> before wash-up stage by adding DNAse treatment (</w:t>
      </w:r>
      <w:r w:rsidR="00033F3C" w:rsidRPr="00145167">
        <w:rPr>
          <w:bCs/>
        </w:rPr>
        <w:t>RNase-Free DNase Set, Qiagen</w:t>
      </w:r>
      <w:r w:rsidR="00033F3C" w:rsidRPr="00145167">
        <w:t xml:space="preserve">) which was a column </w:t>
      </w:r>
      <w:r w:rsidR="00AB5D5B" w:rsidRPr="00145167">
        <w:t>DNAse</w:t>
      </w:r>
      <w:r w:rsidR="00033F3C" w:rsidRPr="00145167">
        <w:t xml:space="preserve"> treatment, performed following RNeasy Plant mini ki</w:t>
      </w:r>
      <w:r w:rsidR="009D03A0" w:rsidRPr="00145167">
        <w:t xml:space="preserve">t (Qiagen) DNA digestion steps. </w:t>
      </w:r>
      <w:r w:rsidR="00033F3C" w:rsidRPr="00145167">
        <w:t>NanoDrop Spectrometer (Thermo, USA) and Qubit Quant-iT</w:t>
      </w:r>
      <w:r w:rsidR="00033F3C" w:rsidRPr="00145167">
        <w:rPr>
          <w:vertAlign w:val="superscript"/>
        </w:rPr>
        <w:t>TM</w:t>
      </w:r>
      <w:r w:rsidR="00033F3C" w:rsidRPr="00145167">
        <w:t xml:space="preserve"> RNA Assay Kit (Thermo Fisher Scientific, USA) were used</w:t>
      </w:r>
      <w:r w:rsidR="009D03A0" w:rsidRPr="00145167">
        <w:t xml:space="preserve"> to determine the initial quality and quantity of extracted RNA samples</w:t>
      </w:r>
      <w:r w:rsidR="00033F3C" w:rsidRPr="00145167">
        <w:t xml:space="preserve">. In total six samples, </w:t>
      </w:r>
      <w:r w:rsidR="006B7A98" w:rsidRPr="00145167">
        <w:t xml:space="preserve">three basal plate tissues from three different </w:t>
      </w:r>
      <w:r w:rsidR="00033F3C" w:rsidRPr="00145167">
        <w:t>Carlton</w:t>
      </w:r>
      <w:r w:rsidR="006B7A98" w:rsidRPr="00145167">
        <w:t xml:space="preserve"> bulbs</w:t>
      </w:r>
      <w:r w:rsidR="00033F3C" w:rsidRPr="00145167">
        <w:t xml:space="preserve"> </w:t>
      </w:r>
      <w:r w:rsidR="006B7A98" w:rsidRPr="00145167">
        <w:t xml:space="preserve">and three </w:t>
      </w:r>
      <w:r w:rsidR="00033F3C" w:rsidRPr="00145167">
        <w:t xml:space="preserve">callus </w:t>
      </w:r>
      <w:r w:rsidR="006B7A98" w:rsidRPr="00145167">
        <w:t xml:space="preserve">samples induced from the same bulbs </w:t>
      </w:r>
      <w:r w:rsidR="00033F3C" w:rsidRPr="00145167">
        <w:t>were sent to the Centre of Genomic Research (CGR), University of Liverpool, for RNA sequencing.</w:t>
      </w:r>
      <w:r w:rsidR="009D03A0" w:rsidRPr="00145167">
        <w:t xml:space="preserve"> </w:t>
      </w:r>
      <w:r w:rsidR="00033F3C" w:rsidRPr="00145167">
        <w:t>Total RNA quality and RNA integrity (RIN) were tested again by CGR using Agilent 2100 Bioanalyser (Agilent Technologies), which fulfilled the quality requirement for further sample processing.</w:t>
      </w:r>
      <w:r w:rsidR="009D03A0" w:rsidRPr="00145167">
        <w:t xml:space="preserve"> </w:t>
      </w:r>
      <w:proofErr w:type="gramStart"/>
      <w:r w:rsidR="009D03A0" w:rsidRPr="00145167">
        <w:t>rRNA</w:t>
      </w:r>
      <w:proofErr w:type="gramEnd"/>
      <w:r w:rsidR="009D03A0" w:rsidRPr="00145167">
        <w:t xml:space="preserve"> depletion was performed</w:t>
      </w:r>
      <w:r w:rsidR="00033F3C" w:rsidRPr="00145167">
        <w:t xml:space="preserve"> using the Ribo-Zero rRNA removal kit (Plant seed/ root) (Illumina, USA) following manufacturer's protocol. The ScriptSeq v2 (</w:t>
      </w:r>
      <w:proofErr w:type="spellStart"/>
      <w:r w:rsidR="00033F3C" w:rsidRPr="00145167">
        <w:t>Epicentre</w:t>
      </w:r>
      <w:proofErr w:type="spellEnd"/>
      <w:r w:rsidR="00033F3C" w:rsidRPr="00145167">
        <w:t>, USA) RNA-seq library preparation kit was used for library preparation, which produces directional sequencing reads using a random-primed cDNA synthesis reaction.</w:t>
      </w:r>
      <w:r w:rsidR="009D03A0" w:rsidRPr="00145167">
        <w:rPr>
          <w:shd w:val="clear" w:color="auto" w:fill="FFFFFF"/>
        </w:rPr>
        <w:t xml:space="preserve"> The HiSeq 2500 System (Illumina, UK) was used for RNA sequencing.</w:t>
      </w:r>
    </w:p>
    <w:p w:rsidR="00033F3C" w:rsidRPr="00145167" w:rsidRDefault="00145167" w:rsidP="00145167">
      <w:pPr>
        <w:tabs>
          <w:tab w:val="center" w:pos="3968"/>
        </w:tabs>
        <w:spacing w:line="480" w:lineRule="auto"/>
        <w:rPr>
          <w:i/>
        </w:rPr>
      </w:pPr>
      <w:r>
        <w:rPr>
          <w:i/>
        </w:rPr>
        <w:t xml:space="preserve">2.3 </w:t>
      </w:r>
      <w:r w:rsidR="007628AB" w:rsidRPr="00145167">
        <w:rPr>
          <w:i/>
        </w:rPr>
        <w:t>D</w:t>
      </w:r>
      <w:r w:rsidR="00F9123E" w:rsidRPr="00145167">
        <w:rPr>
          <w:i/>
        </w:rPr>
        <w:t>at</w:t>
      </w:r>
      <w:r>
        <w:rPr>
          <w:i/>
        </w:rPr>
        <w:t>a p</w:t>
      </w:r>
      <w:r w:rsidR="00033F3C" w:rsidRPr="00145167">
        <w:rPr>
          <w:i/>
        </w:rPr>
        <w:t>rocessing</w:t>
      </w:r>
    </w:p>
    <w:p w:rsidR="00033F3C" w:rsidRPr="00145167" w:rsidRDefault="007628AB" w:rsidP="00145167">
      <w:pPr>
        <w:tabs>
          <w:tab w:val="center" w:pos="3968"/>
        </w:tabs>
        <w:spacing w:line="480" w:lineRule="auto"/>
      </w:pPr>
      <w:r w:rsidRPr="00145167">
        <w:t xml:space="preserve">The raw FASTQ files </w:t>
      </w:r>
      <w:r w:rsidR="00033F3C" w:rsidRPr="00145167">
        <w:t>were trimmed for the presence of Illumina adapter sequences using</w:t>
      </w:r>
      <w:r w:rsidR="00033F3C" w:rsidRPr="00145167">
        <w:rPr>
          <w:rStyle w:val="apple-converted-space"/>
        </w:rPr>
        <w:t xml:space="preserve"> Cutadapt </w:t>
      </w:r>
      <w:r w:rsidR="00033F3C" w:rsidRPr="00145167">
        <w:t xml:space="preserve">version 1.2.1 </w:t>
      </w:r>
      <w:r w:rsidR="00033F3C" w:rsidRPr="00145167">
        <w:fldChar w:fldCharType="begin"/>
      </w:r>
      <w:r w:rsidR="00033F3C" w:rsidRPr="00145167">
        <w:instrText xml:space="preserve"> ADDIN EN.CITE &lt;EndNote&gt;&lt;Cite&gt;&lt;Author&gt;Martin&lt;/Author&gt;&lt;Year&gt;2011&lt;/Year&gt;&lt;RecNum&gt;77&lt;/RecNum&gt;&lt;DisplayText&gt;(Martin, 2011)&lt;/DisplayText&gt;&lt;record&gt;&lt;rec-number&gt;77&lt;/rec-number&gt;&lt;foreign-keys&gt;&lt;key app="EN" db-id="2wzs5r50hrta5ue9f9p5stx8fde9zp05s9rs"&gt;77&lt;/key&gt;&lt;/foreign-keys&gt;&lt;ref-type name="Journal Article"&gt;17&lt;/ref-type&gt;&lt;contributors&gt;&lt;authors&gt;&lt;author&gt;Martin, Marcel&lt;/author&gt;&lt;/authors&gt;&lt;/contributors&gt;&lt;titles&gt;&lt;title&gt;Cutadapt removes adapter sequences from high-throughput sequencing reads&lt;/title&gt;&lt;secondary-title&gt;EMBnet. journal&lt;/secondary-title&gt;&lt;/titles&gt;&lt;periodical&gt;&lt;full-title&gt;EMBnet. journal&lt;/full-title&gt;&lt;/periodical&gt;&lt;pages&gt;pp. 10-12&lt;/pages&gt;&lt;volume&gt;17&lt;/volume&gt;&lt;number&gt;1&lt;/number&gt;&lt;dates&gt;&lt;year&gt;2011&lt;/year&gt;&lt;/dates&gt;&lt;isbn&gt;2226-6089&lt;/isbn&gt;&lt;urls&gt;&lt;/urls&gt;&lt;/record&gt;&lt;/Cite&gt;&lt;/EndNote&gt;</w:instrText>
      </w:r>
      <w:r w:rsidR="00033F3C" w:rsidRPr="00145167">
        <w:fldChar w:fldCharType="separate"/>
      </w:r>
      <w:r w:rsidR="00033F3C" w:rsidRPr="00145167">
        <w:rPr>
          <w:noProof/>
        </w:rPr>
        <w:t>(</w:t>
      </w:r>
      <w:hyperlink w:anchor="_ENREF_3" w:tooltip="Martin, 2011 #77" w:history="1">
        <w:r w:rsidR="00033F3C" w:rsidRPr="00145167">
          <w:rPr>
            <w:noProof/>
          </w:rPr>
          <w:t>Martin, 2011</w:t>
        </w:r>
      </w:hyperlink>
      <w:r w:rsidR="00033F3C" w:rsidRPr="00145167">
        <w:rPr>
          <w:noProof/>
        </w:rPr>
        <w:t>)</w:t>
      </w:r>
      <w:r w:rsidR="00033F3C" w:rsidRPr="00145167">
        <w:fldChar w:fldCharType="end"/>
      </w:r>
      <w:r w:rsidR="00033F3C" w:rsidRPr="00145167">
        <w:t xml:space="preserve">. The option -O3 was used, so the 3' end of any reads, which matched the adapter, sequence for 3 base pairs or </w:t>
      </w:r>
      <w:r w:rsidRPr="00145167">
        <w:t>more,</w:t>
      </w:r>
      <w:r w:rsidR="00033F3C" w:rsidRPr="00145167">
        <w:t xml:space="preserve"> was trimmed. The reads were further trimmed using Sickle version 1.200 (</w:t>
      </w:r>
      <w:proofErr w:type="spellStart"/>
      <w:r w:rsidR="00033F3C" w:rsidRPr="00145167">
        <w:t>GitHub</w:t>
      </w:r>
      <w:proofErr w:type="spellEnd"/>
      <w:r w:rsidR="00033F3C" w:rsidRPr="00145167">
        <w:t>) with a minimum window quality score of 20. After trimming, reads shorter that 10 base pairs were removed. Statistics were generated using FASTQ-stats</w:t>
      </w:r>
      <w:r w:rsidRPr="00145167">
        <w:t xml:space="preserve"> from </w:t>
      </w:r>
      <w:proofErr w:type="spellStart"/>
      <w:r w:rsidRPr="00145167">
        <w:t>EAUtils</w:t>
      </w:r>
      <w:proofErr w:type="spellEnd"/>
      <w:r w:rsidRPr="00145167">
        <w:t>. After that t</w:t>
      </w:r>
      <w:r w:rsidR="00033F3C" w:rsidRPr="00145167">
        <w:t xml:space="preserve">he RNA-seq data in FASTQ format was released by CGR and was available to download for further downstream analyses. </w:t>
      </w:r>
    </w:p>
    <w:p w:rsidR="00033F3C" w:rsidRPr="00145167" w:rsidRDefault="00145167" w:rsidP="00145167">
      <w:pPr>
        <w:tabs>
          <w:tab w:val="center" w:pos="3968"/>
        </w:tabs>
        <w:spacing w:line="480" w:lineRule="auto"/>
        <w:rPr>
          <w:i/>
        </w:rPr>
      </w:pPr>
      <w:r>
        <w:rPr>
          <w:i/>
        </w:rPr>
        <w:t>2.4 RNA-seq a</w:t>
      </w:r>
      <w:r w:rsidR="00033F3C" w:rsidRPr="00145167">
        <w:rPr>
          <w:i/>
        </w:rPr>
        <w:t>nalyses</w:t>
      </w:r>
    </w:p>
    <w:p w:rsidR="009E7F71" w:rsidRPr="00145167" w:rsidRDefault="009E7F71" w:rsidP="00145167">
      <w:pPr>
        <w:tabs>
          <w:tab w:val="center" w:pos="3968"/>
        </w:tabs>
        <w:spacing w:line="480" w:lineRule="auto"/>
      </w:pPr>
      <w:r w:rsidRPr="00145167">
        <w:t>There was</w:t>
      </w:r>
      <w:r w:rsidR="00033F3C" w:rsidRPr="00145167">
        <w:t xml:space="preserve"> no reference genome available for </w:t>
      </w:r>
      <w:r w:rsidR="00033F3C" w:rsidRPr="00145167">
        <w:rPr>
          <w:i/>
        </w:rPr>
        <w:t>Narcissus</w:t>
      </w:r>
      <w:r w:rsidRPr="00145167">
        <w:t xml:space="preserve"> in databases.</w:t>
      </w:r>
      <w:r w:rsidR="00033F3C" w:rsidRPr="00145167">
        <w:t xml:space="preserve"> </w:t>
      </w:r>
      <w:r w:rsidR="00A44962" w:rsidRPr="00145167">
        <w:t xml:space="preserve">Kilgore </w:t>
      </w:r>
      <w:r w:rsidR="00D2595E">
        <w:t>et al.,</w:t>
      </w:r>
      <w:r w:rsidR="00033F3C" w:rsidRPr="00145167">
        <w:t xml:space="preserve"> (2014) reported a </w:t>
      </w:r>
      <w:r w:rsidR="00033F3C" w:rsidRPr="00145167">
        <w:rPr>
          <w:i/>
        </w:rPr>
        <w:t>N. pseudonarcissus</w:t>
      </w:r>
      <w:r w:rsidR="00033F3C" w:rsidRPr="00145167">
        <w:t xml:space="preserve"> transcriptome assembly and </w:t>
      </w:r>
      <w:r w:rsidRPr="00145167">
        <w:t xml:space="preserve">the </w:t>
      </w:r>
      <w:r w:rsidR="00033F3C" w:rsidRPr="00145167">
        <w:t xml:space="preserve">raw reads are available at the </w:t>
      </w:r>
      <w:r w:rsidR="00033F3C" w:rsidRPr="00145167">
        <w:lastRenderedPageBreak/>
        <w:t>MedPlant RNA Seq Database (</w:t>
      </w:r>
      <w:hyperlink r:id="rId11" w:history="1">
        <w:r w:rsidR="007234DD" w:rsidRPr="00145167">
          <w:rPr>
            <w:rStyle w:val="Hyperlink"/>
            <w:color w:val="auto"/>
          </w:rPr>
          <w:t>https://medplantrnaseq.org/</w:t>
        </w:r>
      </w:hyperlink>
      <w:r w:rsidRPr="00145167">
        <w:t xml:space="preserve">) which was downloaded and </w:t>
      </w:r>
      <w:r w:rsidR="00033F3C" w:rsidRPr="00145167">
        <w:t>used as a reference transcriptome for further RNA-seq analyses.</w:t>
      </w:r>
    </w:p>
    <w:p w:rsidR="00033F3C" w:rsidRPr="00145167" w:rsidRDefault="00033F3C" w:rsidP="00145167">
      <w:pPr>
        <w:tabs>
          <w:tab w:val="center" w:pos="3968"/>
        </w:tabs>
        <w:spacing w:line="480" w:lineRule="auto"/>
      </w:pPr>
      <w:r w:rsidRPr="00145167">
        <w:t xml:space="preserve">The paired-end RNA-seq FASTQ files containing forward and reverse read files of three replicates for basal plate and callus were used for </w:t>
      </w:r>
      <w:r w:rsidR="002D071E" w:rsidRPr="00145167">
        <w:t>characterizing</w:t>
      </w:r>
      <w:r w:rsidRPr="00145167">
        <w:t xml:space="preserve"> differential expression. The analyses were performed on Discovery Environment of CyVerse, following the tutorial: </w:t>
      </w:r>
      <w:r w:rsidRPr="00145167">
        <w:rPr>
          <w:shd w:val="clear" w:color="auto" w:fill="FFFFFF"/>
        </w:rPr>
        <w:t xml:space="preserve">DE 002: </w:t>
      </w:r>
      <w:r w:rsidR="002D071E" w:rsidRPr="00145167">
        <w:rPr>
          <w:shd w:val="clear" w:color="auto" w:fill="FFFFFF"/>
        </w:rPr>
        <w:t>Characterizing</w:t>
      </w:r>
      <w:r w:rsidRPr="00145167">
        <w:rPr>
          <w:rStyle w:val="apple-converted-space"/>
          <w:shd w:val="clear" w:color="auto" w:fill="FFFFFF"/>
        </w:rPr>
        <w:t> </w:t>
      </w:r>
      <w:r w:rsidRPr="00145167">
        <w:rPr>
          <w:rStyle w:val="Emphasis"/>
          <w:bCs/>
          <w:shd w:val="clear" w:color="auto" w:fill="FFFFFF"/>
        </w:rPr>
        <w:t>Differential</w:t>
      </w:r>
      <w:r w:rsidRPr="00145167">
        <w:rPr>
          <w:rStyle w:val="apple-converted-space"/>
          <w:shd w:val="clear" w:color="auto" w:fill="FFFFFF"/>
        </w:rPr>
        <w:t> </w:t>
      </w:r>
      <w:r w:rsidRPr="00145167">
        <w:rPr>
          <w:shd w:val="clear" w:color="auto" w:fill="FFFFFF"/>
        </w:rPr>
        <w:t xml:space="preserve">Expression with RNA-Seq (Tuxedo Method) (www.cyverse.org). The method is based on the Tuxedo Suite; TopHat software was used for read alignment while Cufflinks was used to assemble the aligned reads for the reconstruction of transcriptome. Cuffmerge was applied to merge multiple conditions and Cuffdiff to calculate the differential gene expressions. Finally, CummeRbund was used for the </w:t>
      </w:r>
      <w:r w:rsidR="002D071E" w:rsidRPr="00145167">
        <w:rPr>
          <w:shd w:val="clear" w:color="auto" w:fill="FFFFFF"/>
        </w:rPr>
        <w:t>visualization</w:t>
      </w:r>
      <w:r w:rsidRPr="00145167">
        <w:rPr>
          <w:shd w:val="clear" w:color="auto" w:fill="FFFFFF"/>
        </w:rPr>
        <w:t xml:space="preserve"> of data</w:t>
      </w:r>
      <w:r w:rsidR="00C35FC5" w:rsidRPr="00145167">
        <w:rPr>
          <w:shd w:val="clear" w:color="auto" w:fill="FFFFFF"/>
        </w:rPr>
        <w:t xml:space="preserve"> (</w:t>
      </w:r>
      <w:r w:rsidR="00A44962" w:rsidRPr="00145167">
        <w:rPr>
          <w:shd w:val="clear" w:color="auto" w:fill="FFFFFF"/>
        </w:rPr>
        <w:t xml:space="preserve">Trapnell </w:t>
      </w:r>
      <w:r w:rsidR="00D2595E">
        <w:rPr>
          <w:shd w:val="clear" w:color="auto" w:fill="FFFFFF"/>
        </w:rPr>
        <w:t>et al.,</w:t>
      </w:r>
      <w:r w:rsidR="00C35FC5" w:rsidRPr="00145167">
        <w:rPr>
          <w:shd w:val="clear" w:color="auto" w:fill="FFFFFF"/>
        </w:rPr>
        <w:t xml:space="preserve"> 2012)</w:t>
      </w:r>
      <w:r w:rsidRPr="00145167">
        <w:rPr>
          <w:shd w:val="clear" w:color="auto" w:fill="FFFFFF"/>
        </w:rPr>
        <w:t>.</w:t>
      </w:r>
    </w:p>
    <w:p w:rsidR="00033F3C" w:rsidRPr="00145167" w:rsidRDefault="00145167" w:rsidP="00145167">
      <w:pPr>
        <w:pStyle w:val="Heading1"/>
        <w:shd w:val="clear" w:color="auto" w:fill="FFFFFF"/>
        <w:spacing w:before="0" w:beforeAutospacing="0" w:after="0" w:afterAutospacing="0" w:line="480" w:lineRule="auto"/>
        <w:rPr>
          <w:b w:val="0"/>
          <w:i/>
          <w:sz w:val="24"/>
          <w:szCs w:val="24"/>
        </w:rPr>
      </w:pPr>
      <w:r>
        <w:rPr>
          <w:b w:val="0"/>
          <w:i/>
          <w:sz w:val="24"/>
          <w:szCs w:val="24"/>
        </w:rPr>
        <w:t xml:space="preserve">2.5 </w:t>
      </w:r>
      <w:r w:rsidR="00033F3C" w:rsidRPr="00145167">
        <w:rPr>
          <w:b w:val="0"/>
          <w:i/>
          <w:sz w:val="24"/>
          <w:szCs w:val="24"/>
        </w:rPr>
        <w:t>Differential</w:t>
      </w:r>
      <w:r w:rsidR="00023611" w:rsidRPr="00145167">
        <w:rPr>
          <w:b w:val="0"/>
          <w:i/>
          <w:sz w:val="24"/>
          <w:szCs w:val="24"/>
        </w:rPr>
        <w:t>ly</w:t>
      </w:r>
      <w:r>
        <w:rPr>
          <w:b w:val="0"/>
          <w:i/>
          <w:sz w:val="24"/>
          <w:szCs w:val="24"/>
        </w:rPr>
        <w:t xml:space="preserve"> expressed genes/ transcripts a</w:t>
      </w:r>
      <w:r w:rsidR="00033F3C" w:rsidRPr="00145167">
        <w:rPr>
          <w:b w:val="0"/>
          <w:i/>
          <w:sz w:val="24"/>
          <w:szCs w:val="24"/>
        </w:rPr>
        <w:t>nnotation</w:t>
      </w:r>
    </w:p>
    <w:p w:rsidR="00033F3C" w:rsidRPr="00145167" w:rsidRDefault="00033F3C" w:rsidP="00145167">
      <w:pPr>
        <w:pStyle w:val="Heading1"/>
        <w:shd w:val="clear" w:color="auto" w:fill="FFFFFF"/>
        <w:spacing w:before="0" w:beforeAutospacing="0" w:after="0" w:afterAutospacing="0" w:line="480" w:lineRule="auto"/>
        <w:rPr>
          <w:b w:val="0"/>
          <w:sz w:val="24"/>
          <w:szCs w:val="24"/>
        </w:rPr>
      </w:pPr>
      <w:r w:rsidRPr="00145167">
        <w:rPr>
          <w:b w:val="0"/>
          <w:sz w:val="24"/>
          <w:szCs w:val="24"/>
        </w:rPr>
        <w:t>The differentially expressed genes/ transcripts (Cuffdiff output) were annotated following a</w:t>
      </w:r>
      <w:r w:rsidR="00023611" w:rsidRPr="00145167">
        <w:rPr>
          <w:b w:val="0"/>
          <w:sz w:val="24"/>
          <w:szCs w:val="24"/>
        </w:rPr>
        <w:t xml:space="preserve"> BLAST search. </w:t>
      </w:r>
      <w:r w:rsidRPr="00145167">
        <w:rPr>
          <w:b w:val="0"/>
          <w:sz w:val="24"/>
          <w:szCs w:val="24"/>
        </w:rPr>
        <w:t>A BLAST database containing proteins in the non-redundant protein database related to plants was used to BLAST the transcriptome. The BLAST result of annotated genes/ transcripts provides an indication of the identity of transcripts that might be involved in differential expression between the two conditions under study. The data obtained was completely un</w:t>
      </w:r>
      <w:r w:rsidR="00023611" w:rsidRPr="00145167">
        <w:rPr>
          <w:b w:val="0"/>
          <w:sz w:val="24"/>
          <w:szCs w:val="24"/>
        </w:rPr>
        <w:t>-</w:t>
      </w:r>
      <w:r w:rsidRPr="00145167">
        <w:rPr>
          <w:b w:val="0"/>
          <w:sz w:val="24"/>
          <w:szCs w:val="24"/>
        </w:rPr>
        <w:t>curated and based on top hits from the BLAST output.</w:t>
      </w:r>
    </w:p>
    <w:p w:rsidR="00023611" w:rsidRPr="00145167" w:rsidRDefault="00145167" w:rsidP="00145167">
      <w:pPr>
        <w:spacing w:line="480" w:lineRule="auto"/>
        <w:rPr>
          <w:i/>
        </w:rPr>
      </w:pPr>
      <w:r>
        <w:rPr>
          <w:i/>
        </w:rPr>
        <w:t>2.6 Functional a</w:t>
      </w:r>
      <w:r w:rsidR="00033F3C" w:rsidRPr="00145167">
        <w:rPr>
          <w:i/>
        </w:rPr>
        <w:t>nnotations</w:t>
      </w:r>
      <w:r>
        <w:rPr>
          <w:i/>
        </w:rPr>
        <w:t xml:space="preserve"> and pathway a</w:t>
      </w:r>
      <w:r w:rsidR="00023611" w:rsidRPr="00145167">
        <w:rPr>
          <w:i/>
        </w:rPr>
        <w:t>nalysis</w:t>
      </w:r>
    </w:p>
    <w:p w:rsidR="00033F3C" w:rsidRPr="00145167" w:rsidRDefault="00033F3C" w:rsidP="00145167">
      <w:pPr>
        <w:spacing w:line="480" w:lineRule="auto"/>
      </w:pPr>
      <w:r w:rsidRPr="00145167">
        <w:t>The differentially expressed transcripts, significant at q</w:t>
      </w:r>
      <w:r w:rsidR="006B7A98" w:rsidRPr="00145167">
        <w:t xml:space="preserve">-value (corrected p-values) </w:t>
      </w:r>
      <w:r w:rsidRPr="00145167">
        <w:t>≤ 0.05, in basal plate and callus were then annotated to their Gene Ontology categories using UniProt Gene Ontology (www.uniprot.org) web tools. Further, GO terms for UniProt Gene Ontology annotated trans</w:t>
      </w:r>
      <w:r w:rsidR="006B7A98" w:rsidRPr="00145167">
        <w:t xml:space="preserve">cripts were obtained using </w:t>
      </w:r>
      <w:r w:rsidRPr="00145167">
        <w:t>EMBL-EBI Quick GO-Beta Gene Ontology and GO Annotation</w:t>
      </w:r>
      <w:r w:rsidR="006B7A98" w:rsidRPr="00145167">
        <w:t>s (</w:t>
      </w:r>
      <w:hyperlink r:id="rId12" w:history="1">
        <w:r w:rsidR="006B7A98" w:rsidRPr="00145167">
          <w:rPr>
            <w:rStyle w:val="Hyperlink"/>
            <w:color w:val="auto"/>
          </w:rPr>
          <w:t>www.ebi.ac.uk/QuickGO-Beta</w:t>
        </w:r>
      </w:hyperlink>
      <w:r w:rsidR="006B7A98" w:rsidRPr="00145167">
        <w:t xml:space="preserve">). </w:t>
      </w:r>
      <w:r w:rsidRPr="00145167">
        <w:t xml:space="preserve">The transcripts detected in basal plate and callus were mapped to the KEGG pathway mapper (www.genome.jp/kegg/mapper.html) and also mapped with the </w:t>
      </w:r>
      <w:r w:rsidRPr="00145167">
        <w:lastRenderedPageBreak/>
        <w:t xml:space="preserve">curated Plant Reactome (plantreactome.gramene.org) for </w:t>
      </w:r>
      <w:r w:rsidRPr="00145167">
        <w:rPr>
          <w:i/>
        </w:rPr>
        <w:t xml:space="preserve">Oryza sativa </w:t>
      </w:r>
      <w:r w:rsidRPr="00145167">
        <w:t xml:space="preserve">to obtain a postulated pathway for </w:t>
      </w:r>
      <w:r w:rsidRPr="00145167">
        <w:rPr>
          <w:i/>
        </w:rPr>
        <w:t>Narcissus</w:t>
      </w:r>
      <w:r w:rsidRPr="00145167">
        <w:t xml:space="preserve"> basal plate and callus transcripts.</w:t>
      </w:r>
    </w:p>
    <w:p w:rsidR="00663857" w:rsidRPr="00145167" w:rsidRDefault="009B7261" w:rsidP="00145167">
      <w:pPr>
        <w:spacing w:line="480" w:lineRule="auto"/>
      </w:pPr>
      <w:r w:rsidRPr="00145167">
        <w:t>Figure 1 represented a</w:t>
      </w:r>
      <w:r w:rsidR="00663857" w:rsidRPr="00145167">
        <w:t xml:space="preserve">n overview of the methods used </w:t>
      </w:r>
      <w:r w:rsidR="00023611" w:rsidRPr="00145167">
        <w:t xml:space="preserve">for </w:t>
      </w:r>
      <w:r w:rsidR="00663857" w:rsidRPr="00145167">
        <w:t xml:space="preserve">Illumina sequencing and </w:t>
      </w:r>
      <w:r w:rsidRPr="00145167">
        <w:t>of the subsequent data analysis</w:t>
      </w:r>
      <w:r w:rsidR="00023611" w:rsidRPr="00145167">
        <w:t>.</w:t>
      </w:r>
    </w:p>
    <w:p w:rsidR="004F390F" w:rsidRPr="00145167" w:rsidRDefault="004F390F" w:rsidP="00145167">
      <w:pPr>
        <w:pStyle w:val="ListParagraph"/>
        <w:numPr>
          <w:ilvl w:val="0"/>
          <w:numId w:val="8"/>
        </w:numPr>
        <w:spacing w:after="0" w:line="480" w:lineRule="auto"/>
        <w:ind w:left="284" w:hanging="284"/>
        <w:rPr>
          <w:sz w:val="24"/>
          <w:szCs w:val="24"/>
        </w:rPr>
      </w:pPr>
      <w:r w:rsidRPr="00145167">
        <w:rPr>
          <w:b/>
          <w:sz w:val="24"/>
          <w:szCs w:val="24"/>
        </w:rPr>
        <w:t>R</w:t>
      </w:r>
      <w:r w:rsidR="0079487E" w:rsidRPr="00145167">
        <w:rPr>
          <w:b/>
          <w:sz w:val="24"/>
          <w:szCs w:val="24"/>
        </w:rPr>
        <w:t xml:space="preserve">esults </w:t>
      </w:r>
    </w:p>
    <w:p w:rsidR="00663857" w:rsidRPr="00145167" w:rsidRDefault="00145167" w:rsidP="00145167">
      <w:pPr>
        <w:spacing w:line="480" w:lineRule="auto"/>
        <w:rPr>
          <w:i/>
        </w:rPr>
      </w:pPr>
      <w:r w:rsidRPr="00145167">
        <w:rPr>
          <w:i/>
        </w:rPr>
        <w:t>3.1 Raw reads trimming and f</w:t>
      </w:r>
      <w:r w:rsidR="00723906" w:rsidRPr="00145167">
        <w:rPr>
          <w:i/>
        </w:rPr>
        <w:t>iltering</w:t>
      </w:r>
    </w:p>
    <w:p w:rsidR="00AD0E26" w:rsidRPr="00145167" w:rsidRDefault="00723906" w:rsidP="00145167">
      <w:pPr>
        <w:autoSpaceDE w:val="0"/>
        <w:autoSpaceDN w:val="0"/>
        <w:adjustRightInd w:val="0"/>
        <w:spacing w:line="480" w:lineRule="auto"/>
      </w:pPr>
      <w:r w:rsidRPr="00145167">
        <w:t xml:space="preserve">Among the six sequenced samples </w:t>
      </w:r>
      <w:r w:rsidR="00663857" w:rsidRPr="00145167">
        <w:t>one basal plate sample (CBS2) showed poor statistics in post-run, with mapping to rRNA at a level of about 74% whereas the other samples showed mapping at about 1 to 12%. The variation of 1 to 12% is not unusual and acceptable, but the mapping variation in CBS2 was questionable and unpredicted even though it was collected and processed using the sam</w:t>
      </w:r>
      <w:r w:rsidRPr="00145167">
        <w:t xml:space="preserve">e methods used </w:t>
      </w:r>
      <w:r w:rsidR="0047414E" w:rsidRPr="00145167">
        <w:t xml:space="preserve">for </w:t>
      </w:r>
      <w:r w:rsidRPr="00145167">
        <w:t>other two replicates of basal plate</w:t>
      </w:r>
      <w:r w:rsidR="0047414E" w:rsidRPr="00145167">
        <w:t xml:space="preserve"> (CBS1 and CBS2)</w:t>
      </w:r>
      <w:r w:rsidR="00663857" w:rsidRPr="00145167">
        <w:t xml:space="preserve">. </w:t>
      </w:r>
      <w:r w:rsidRPr="00145167">
        <w:t>The average base quality score for all samples and replicates were &gt;30, which indicated base call accuracy of 99.9%. More than 95% of total raw reads were recovered after trimming</w:t>
      </w:r>
      <w:r w:rsidR="0047414E" w:rsidRPr="00145167">
        <w:t xml:space="preserve"> and filtering i.e. 97.7% in callus (CAL</w:t>
      </w:r>
      <w:r w:rsidRPr="00145167">
        <w:t>1</w:t>
      </w:r>
      <w:r w:rsidR="0047414E" w:rsidRPr="00145167">
        <w:t>)</w:t>
      </w:r>
      <w:r w:rsidRPr="00145167">
        <w:t>, 97.5% in CAL2, 96.05% in CAL3, 96.6% in CBS1 and 97.2% in CBS3, except for CBS2 (92.2%). The results of the adapter trimming and quality filtering for Carlton basal plate and callus samples are available in Supplementary</w:t>
      </w:r>
      <w:r w:rsidR="0079487E" w:rsidRPr="00145167">
        <w:t xml:space="preserve"> 1,</w:t>
      </w:r>
      <w:r w:rsidRPr="00145167">
        <w:t xml:space="preserve"> Table </w:t>
      </w:r>
      <w:r w:rsidR="003A729B" w:rsidRPr="00145167">
        <w:t>S</w:t>
      </w:r>
      <w:r w:rsidRPr="00145167">
        <w:t>1</w:t>
      </w:r>
      <w:r w:rsidR="003A729B" w:rsidRPr="00145167">
        <w:t xml:space="preserve"> (Carlton basal plate)</w:t>
      </w:r>
      <w:r w:rsidRPr="00145167">
        <w:t xml:space="preserve"> and </w:t>
      </w:r>
      <w:r w:rsidR="003A729B" w:rsidRPr="00145167">
        <w:t>Table S</w:t>
      </w:r>
      <w:r w:rsidRPr="00145167">
        <w:t>2</w:t>
      </w:r>
      <w:r w:rsidR="003A729B" w:rsidRPr="00145167">
        <w:t xml:space="preserve"> (callus)</w:t>
      </w:r>
      <w:r w:rsidR="00AD0E26" w:rsidRPr="00145167">
        <w:t>.</w:t>
      </w:r>
    </w:p>
    <w:p w:rsidR="00AD0E26" w:rsidRPr="00145167" w:rsidRDefault="00145167" w:rsidP="00145167">
      <w:pPr>
        <w:autoSpaceDE w:val="0"/>
        <w:autoSpaceDN w:val="0"/>
        <w:adjustRightInd w:val="0"/>
        <w:spacing w:line="480" w:lineRule="auto"/>
        <w:rPr>
          <w:i/>
        </w:rPr>
      </w:pPr>
      <w:r w:rsidRPr="00145167">
        <w:rPr>
          <w:i/>
        </w:rPr>
        <w:t>3.2 Differential g</w:t>
      </w:r>
      <w:r w:rsidR="004148D4" w:rsidRPr="00145167">
        <w:rPr>
          <w:i/>
        </w:rPr>
        <w:t>e</w:t>
      </w:r>
      <w:r w:rsidRPr="00145167">
        <w:rPr>
          <w:i/>
        </w:rPr>
        <w:t>ne e</w:t>
      </w:r>
      <w:r w:rsidR="0013688A" w:rsidRPr="00145167">
        <w:rPr>
          <w:i/>
        </w:rPr>
        <w:t xml:space="preserve">xpression </w:t>
      </w:r>
    </w:p>
    <w:p w:rsidR="004844BD" w:rsidRPr="00145167" w:rsidRDefault="00AD0E26" w:rsidP="00145167">
      <w:pPr>
        <w:autoSpaceDE w:val="0"/>
        <w:autoSpaceDN w:val="0"/>
        <w:adjustRightInd w:val="0"/>
        <w:spacing w:line="480" w:lineRule="auto"/>
      </w:pPr>
      <w:r w:rsidRPr="00145167">
        <w:t xml:space="preserve">A </w:t>
      </w:r>
      <w:r w:rsidRPr="00145167">
        <w:rPr>
          <w:i/>
        </w:rPr>
        <w:t>Narcissus</w:t>
      </w:r>
      <w:r w:rsidRPr="00145167">
        <w:t xml:space="preserve"> transcriptome assembly </w:t>
      </w:r>
      <w:r w:rsidR="00403B09" w:rsidRPr="00145167">
        <w:t>was obtained</w:t>
      </w:r>
      <w:r w:rsidRPr="00145167">
        <w:t xml:space="preserve"> from MedPlant RNA Seq Databases (</w:t>
      </w:r>
      <w:hyperlink r:id="rId13" w:history="1">
        <w:r w:rsidR="007234DD" w:rsidRPr="00145167">
          <w:rPr>
            <w:rStyle w:val="Hyperlink"/>
            <w:color w:val="auto"/>
          </w:rPr>
          <w:t>https://medplantrnaseq.org/</w:t>
        </w:r>
      </w:hyperlink>
      <w:r w:rsidR="00403B09" w:rsidRPr="00145167">
        <w:t>) and</w:t>
      </w:r>
      <w:r w:rsidRPr="00145167">
        <w:t xml:space="preserve"> used for </w:t>
      </w:r>
      <w:r w:rsidR="00742BF4" w:rsidRPr="00145167">
        <w:rPr>
          <w:i/>
        </w:rPr>
        <w:t>Narcissus pseudonarcissus</w:t>
      </w:r>
      <w:r w:rsidR="00742BF4" w:rsidRPr="00145167">
        <w:t xml:space="preserve"> cv. Carlton </w:t>
      </w:r>
      <w:r w:rsidR="00403B09" w:rsidRPr="00145167">
        <w:t xml:space="preserve">basal plate and </w:t>
      </w:r>
      <w:r w:rsidR="00742BF4" w:rsidRPr="00145167">
        <w:rPr>
          <w:i/>
        </w:rPr>
        <w:t>in vitro</w:t>
      </w:r>
      <w:r w:rsidR="00742BF4" w:rsidRPr="00145167">
        <w:t xml:space="preserve"> </w:t>
      </w:r>
      <w:r w:rsidR="00403B09" w:rsidRPr="00145167">
        <w:t xml:space="preserve">callus </w:t>
      </w:r>
      <w:r w:rsidRPr="00145167">
        <w:t>RNA-seq read alignment</w:t>
      </w:r>
      <w:r w:rsidR="00403B09" w:rsidRPr="00145167">
        <w:t>. The TopHat read mapping showed a m</w:t>
      </w:r>
      <w:r w:rsidRPr="00145167">
        <w:t>oderate mapping coverage ranging from about 35% to</w:t>
      </w:r>
      <w:r w:rsidR="00403B09" w:rsidRPr="00145167">
        <w:t xml:space="preserve"> 48% of total input</w:t>
      </w:r>
      <w:r w:rsidRPr="00145167">
        <w:t xml:space="preserve"> in all samples under study except one replica</w:t>
      </w:r>
      <w:r w:rsidR="00403B09" w:rsidRPr="00145167">
        <w:t>te of basal plate, CBS2 which was about 19% (Table 1)</w:t>
      </w:r>
      <w:r w:rsidRPr="00145167">
        <w:t xml:space="preserve">. </w:t>
      </w:r>
    </w:p>
    <w:p w:rsidR="00AD0E26" w:rsidRPr="00145167" w:rsidRDefault="00AD0E26" w:rsidP="00145167">
      <w:pPr>
        <w:autoSpaceDE w:val="0"/>
        <w:autoSpaceDN w:val="0"/>
        <w:adjustRightInd w:val="0"/>
        <w:spacing w:line="480" w:lineRule="auto"/>
      </w:pPr>
      <w:r w:rsidRPr="00145167">
        <w:t>The TopHat analysis parameters were set as default to an anchor length of 8, maximum number of mismatches that can appear in the anchor region of spliced alignment to 0</w:t>
      </w:r>
      <w:r w:rsidR="000F26FB" w:rsidRPr="00145167">
        <w:t xml:space="preserve"> (zero)</w:t>
      </w:r>
      <w:r w:rsidR="00403B09" w:rsidRPr="00145167">
        <w:t>, m</w:t>
      </w:r>
      <w:r w:rsidRPr="00145167">
        <w:t xml:space="preserve">inimum intron length, 70 bp and </w:t>
      </w:r>
      <w:r w:rsidR="000F26FB" w:rsidRPr="00145167">
        <w:t xml:space="preserve">maximum intron length, 50000 </w:t>
      </w:r>
      <w:proofErr w:type="spellStart"/>
      <w:r w:rsidR="000F26FB" w:rsidRPr="00145167">
        <w:t>bp.</w:t>
      </w:r>
      <w:proofErr w:type="spellEnd"/>
      <w:r w:rsidRPr="00145167">
        <w:t xml:space="preserve"> Maximum number of alignments to be </w:t>
      </w:r>
      <w:r w:rsidRPr="00145167">
        <w:lastRenderedPageBreak/>
        <w:t>allowed (alignment score)</w:t>
      </w:r>
      <w:r w:rsidR="00403B09" w:rsidRPr="00145167">
        <w:t xml:space="preserve"> was</w:t>
      </w:r>
      <w:r w:rsidRPr="00145167">
        <w:t xml:space="preserve"> of 20, number of mismatches allowed in each segment for reads mapped independently was 2, minimum length of read segment </w:t>
      </w:r>
      <w:r w:rsidR="00403B09" w:rsidRPr="00145167">
        <w:t xml:space="preserve">was </w:t>
      </w:r>
      <w:r w:rsidRPr="00145167">
        <w:t xml:space="preserve">20 bp and meta-pair inner distance </w:t>
      </w:r>
      <w:r w:rsidR="00403B09" w:rsidRPr="00145167">
        <w:t>was</w:t>
      </w:r>
      <w:r w:rsidRPr="00145167">
        <w:t xml:space="preserve"> 50bp. </w:t>
      </w:r>
      <w:r w:rsidR="00403B09" w:rsidRPr="00145167">
        <w:rPr>
          <w:rFonts w:eastAsia="Times New Roman"/>
          <w:lang w:eastAsia="en-GB"/>
        </w:rPr>
        <w:t>These parameters were</w:t>
      </w:r>
      <w:r w:rsidRPr="00145167">
        <w:rPr>
          <w:rFonts w:eastAsia="Times New Roman"/>
          <w:lang w:eastAsia="en-GB"/>
        </w:rPr>
        <w:t xml:space="preserve"> set for reporting t</w:t>
      </w:r>
      <w:r w:rsidR="00403B09" w:rsidRPr="00145167">
        <w:rPr>
          <w:rFonts w:eastAsia="Times New Roman"/>
          <w:lang w:eastAsia="en-GB"/>
        </w:rPr>
        <w:t>he best possible alignment which</w:t>
      </w:r>
      <w:r w:rsidRPr="00145167">
        <w:rPr>
          <w:rFonts w:eastAsia="Times New Roman"/>
          <w:lang w:eastAsia="en-GB"/>
        </w:rPr>
        <w:t xml:space="preserve"> may greatly increase the mapping accuracy at the expense of an increase in running time and rate of alignment.</w:t>
      </w:r>
    </w:p>
    <w:p w:rsidR="00AD0E26" w:rsidRPr="00145167" w:rsidRDefault="00AD0E26" w:rsidP="00145167">
      <w:pPr>
        <w:autoSpaceDE w:val="0"/>
        <w:autoSpaceDN w:val="0"/>
        <w:adjustRightInd w:val="0"/>
        <w:spacing w:line="480" w:lineRule="auto"/>
      </w:pPr>
      <w:r w:rsidRPr="00145167">
        <w:t>The transcript assembly output obtained from Cufflinks detected a total o</w:t>
      </w:r>
      <w:r w:rsidR="00645E06" w:rsidRPr="00145167">
        <w:t>f 2153 differentially expressed</w:t>
      </w:r>
      <w:r w:rsidRPr="00145167">
        <w:t xml:space="preserve"> and regulated </w:t>
      </w:r>
      <w:r w:rsidR="00645E06" w:rsidRPr="00145167">
        <w:t xml:space="preserve">transcripts </w:t>
      </w:r>
      <w:r w:rsidRPr="00145167">
        <w:t xml:space="preserve">in two conditions under study (field derived basal plate and </w:t>
      </w:r>
      <w:r w:rsidRPr="00145167">
        <w:rPr>
          <w:i/>
        </w:rPr>
        <w:t>in vitro</w:t>
      </w:r>
      <w:r w:rsidRPr="00145167">
        <w:t xml:space="preserve"> grown callus). </w:t>
      </w:r>
      <w:r w:rsidR="004E08AC" w:rsidRPr="00145167">
        <w:t xml:space="preserve">About 83.46 % transcripts were annotated among the 2153 differentially expressed genes using a BLAST search against UniProt, SwissProt, RefSeq and TAIR </w:t>
      </w:r>
      <w:r w:rsidR="003B27B7" w:rsidRPr="00145167">
        <w:t xml:space="preserve">reported in Supplementary 2 </w:t>
      </w:r>
      <w:r w:rsidR="004E08AC" w:rsidRPr="00145167">
        <w:t>(</w:t>
      </w:r>
      <w:r w:rsidR="003B27B7" w:rsidRPr="00145167">
        <w:t>Appendix 1</w:t>
      </w:r>
      <w:r w:rsidR="004E08AC" w:rsidRPr="00145167">
        <w:t>)</w:t>
      </w:r>
      <w:r w:rsidR="003B27B7" w:rsidRPr="00145167">
        <w:t xml:space="preserve">. </w:t>
      </w:r>
      <w:r w:rsidRPr="00145167">
        <w:t>About 6</w:t>
      </w:r>
      <w:r w:rsidR="00E810B6" w:rsidRPr="00145167">
        <w:t>4.21% genes were detected as up-</w:t>
      </w:r>
      <w:r w:rsidRPr="00145167">
        <w:t>regulated in</w:t>
      </w:r>
      <w:r w:rsidR="00193107" w:rsidRPr="00145167">
        <w:t xml:space="preserve"> callus, whereas 35.79</w:t>
      </w:r>
      <w:r w:rsidR="00E810B6" w:rsidRPr="00145167">
        <w:t>% were up-</w:t>
      </w:r>
      <w:r w:rsidRPr="00145167">
        <w:t>regulated in the basal plate</w:t>
      </w:r>
      <w:r w:rsidR="001A771C" w:rsidRPr="00145167">
        <w:t>. However, many of these transcripts</w:t>
      </w:r>
      <w:r w:rsidRPr="00145167">
        <w:t xml:space="preserve"> were not significantly different betwee</w:t>
      </w:r>
      <w:r w:rsidR="0079487E" w:rsidRPr="00145167">
        <w:t>n the two conditions (</w:t>
      </w:r>
      <w:r w:rsidR="009A7394">
        <w:t>Figure</w:t>
      </w:r>
      <w:r w:rsidR="001A771C" w:rsidRPr="00145167">
        <w:t xml:space="preserve"> 2)</w:t>
      </w:r>
      <w:r w:rsidRPr="00145167">
        <w:t>. The d</w:t>
      </w:r>
      <w:r w:rsidR="00D453A5" w:rsidRPr="00145167">
        <w:t>istribution of all significant</w:t>
      </w:r>
      <w:r w:rsidRPr="00145167">
        <w:t xml:space="preserve"> differentially ex</w:t>
      </w:r>
      <w:r w:rsidR="00E810B6" w:rsidRPr="00145167">
        <w:t>pressed genes (-log10 (p-value) ≥ 2.0) in Figure 2 showed that the genes on positive</w:t>
      </w:r>
      <w:r w:rsidR="00185C49" w:rsidRPr="00145167">
        <w:t xml:space="preserve"> </w:t>
      </w:r>
      <w:r w:rsidR="00E810B6" w:rsidRPr="00145167">
        <w:t>log</w:t>
      </w:r>
      <w:r w:rsidR="00E810B6" w:rsidRPr="00145167">
        <w:rPr>
          <w:vertAlign w:val="subscript"/>
        </w:rPr>
        <w:t>2</w:t>
      </w:r>
      <w:r w:rsidR="00E810B6" w:rsidRPr="00145167">
        <w:t xml:space="preserve"> axis </w:t>
      </w:r>
      <w:r w:rsidR="00185C49" w:rsidRPr="00145167">
        <w:t>were</w:t>
      </w:r>
      <w:r w:rsidR="00E810B6" w:rsidRPr="00145167">
        <w:t xml:space="preserve"> up-regulated in callus</w:t>
      </w:r>
      <w:r w:rsidR="00185C49" w:rsidRPr="00145167">
        <w:t>, hence</w:t>
      </w:r>
      <w:r w:rsidR="00E810B6" w:rsidRPr="00145167">
        <w:t xml:space="preserve"> </w:t>
      </w:r>
      <w:r w:rsidR="00742BF4" w:rsidRPr="00145167">
        <w:t xml:space="preserve">were </w:t>
      </w:r>
      <w:r w:rsidR="00E810B6" w:rsidRPr="00145167">
        <w:t>down regulated in basal plate</w:t>
      </w:r>
      <w:r w:rsidR="00185C49" w:rsidRPr="00145167">
        <w:t>, while genes on negative log</w:t>
      </w:r>
      <w:r w:rsidR="00185C49" w:rsidRPr="00145167">
        <w:rPr>
          <w:vertAlign w:val="subscript"/>
        </w:rPr>
        <w:t>2</w:t>
      </w:r>
      <w:r w:rsidR="00185C49" w:rsidRPr="00145167">
        <w:t xml:space="preserve"> axis were up</w:t>
      </w:r>
      <w:r w:rsidR="00742BF4" w:rsidRPr="00145167">
        <w:t>-regulated in basal plate and</w:t>
      </w:r>
      <w:r w:rsidR="00185C49" w:rsidRPr="00145167">
        <w:t xml:space="preserve"> down regulated in callus. </w:t>
      </w:r>
      <w:r w:rsidR="00964F74" w:rsidRPr="00145167">
        <w:t xml:space="preserve">A total of 206 genes (9.57%) were detected as significantly up or down regulated in basal plate and callus with q-values (corrected p-values) of ≤ 0.05. </w:t>
      </w:r>
      <w:r w:rsidR="00E810B6" w:rsidRPr="00145167">
        <w:t>The mapping details of all 206 genes (annotated) with their corresponding log</w:t>
      </w:r>
      <w:r w:rsidR="00E810B6" w:rsidRPr="00145167">
        <w:rPr>
          <w:vertAlign w:val="subscript"/>
        </w:rPr>
        <w:t xml:space="preserve">2 </w:t>
      </w:r>
      <w:r w:rsidR="00E810B6" w:rsidRPr="00145167">
        <w:t>(fold change)</w:t>
      </w:r>
      <w:proofErr w:type="gramStart"/>
      <w:r w:rsidR="00E810B6" w:rsidRPr="00145167">
        <w:t>,</w:t>
      </w:r>
      <w:proofErr w:type="gramEnd"/>
      <w:r w:rsidR="00E810B6" w:rsidRPr="00145167">
        <w:t xml:space="preserve"> total FPKM, regulation pattern</w:t>
      </w:r>
      <w:r w:rsidR="001F6241">
        <w:t>,</w:t>
      </w:r>
      <w:r w:rsidR="00E810B6" w:rsidRPr="00145167">
        <w:t xml:space="preserve"> and q-values ar</w:t>
      </w:r>
      <w:r w:rsidR="00D453A5" w:rsidRPr="00145167">
        <w:t>e reported in Supplementary 2</w:t>
      </w:r>
      <w:r w:rsidR="003B27B7" w:rsidRPr="00145167">
        <w:t xml:space="preserve"> (Appendix 2</w:t>
      </w:r>
      <w:r w:rsidR="00E810B6" w:rsidRPr="00145167">
        <w:t xml:space="preserve">).  </w:t>
      </w:r>
      <w:r w:rsidR="00C21276" w:rsidRPr="00145167">
        <w:t>Among the 206 significant differentially expressed gene</w:t>
      </w:r>
      <w:r w:rsidR="00D453A5" w:rsidRPr="00145167">
        <w:t>s, 95 genes were found to be up-</w:t>
      </w:r>
      <w:r w:rsidR="00C21276" w:rsidRPr="00145167">
        <w:t>regulated in callus and down regulated in ba</w:t>
      </w:r>
      <w:r w:rsidR="00D453A5" w:rsidRPr="00145167">
        <w:t>sal plate and 111 genes were up-</w:t>
      </w:r>
      <w:r w:rsidR="00C21276" w:rsidRPr="00145167">
        <w:t>regulated in basal plate, hence down regulated in callus</w:t>
      </w:r>
      <w:r w:rsidR="00E76C77" w:rsidRPr="00145167">
        <w:t>.</w:t>
      </w:r>
    </w:p>
    <w:p w:rsidR="00AD0E26" w:rsidRPr="00145167" w:rsidRDefault="004E08AC" w:rsidP="00145167">
      <w:pPr>
        <w:spacing w:line="480" w:lineRule="auto"/>
      </w:pPr>
      <w:r w:rsidRPr="00145167">
        <w:t>The eleven most</w:t>
      </w:r>
      <w:r w:rsidR="00AD0E26" w:rsidRPr="00145167">
        <w:t xml:space="preserve"> abu</w:t>
      </w:r>
      <w:r w:rsidR="00CB2944" w:rsidRPr="00145167">
        <w:t>ndant gene groups</w:t>
      </w:r>
      <w:r w:rsidR="00AD0E26" w:rsidRPr="00145167">
        <w:t xml:space="preserve"> that contributed</w:t>
      </w:r>
      <w:r w:rsidRPr="00145167">
        <w:t xml:space="preserve"> to</w:t>
      </w:r>
      <w:r w:rsidR="00AD0E26" w:rsidRPr="00145167">
        <w:t xml:space="preserve"> 41.7% of t</w:t>
      </w:r>
      <w:r w:rsidR="00743850" w:rsidRPr="00145167">
        <w:t>he total annotated genes</w:t>
      </w:r>
      <w:r w:rsidRPr="00145167">
        <w:t xml:space="preserve"> were detected in </w:t>
      </w:r>
      <w:r w:rsidRPr="00145167">
        <w:rPr>
          <w:i/>
        </w:rPr>
        <w:t>Narcissus</w:t>
      </w:r>
      <w:r w:rsidR="0079487E" w:rsidRPr="00145167">
        <w:t xml:space="preserve"> transcriptome data (</w:t>
      </w:r>
      <w:r w:rsidR="009A7394">
        <w:t>Figure</w:t>
      </w:r>
      <w:r w:rsidRPr="00145167">
        <w:t xml:space="preserve"> 3)</w:t>
      </w:r>
      <w:r w:rsidR="00743850" w:rsidRPr="00145167">
        <w:t xml:space="preserve">. </w:t>
      </w:r>
      <w:r w:rsidR="00AD0E26" w:rsidRPr="00145167">
        <w:t xml:space="preserve">The largest </w:t>
      </w:r>
      <w:r w:rsidR="00743850" w:rsidRPr="00145167">
        <w:t>gene group was uncharacterized proteins (10.24%) followed by the</w:t>
      </w:r>
      <w:r w:rsidR="00AD0E26" w:rsidRPr="00145167">
        <w:t xml:space="preserve"> genes responsible for secondary metabolite production (8.88%) which included cytochrome P450s, methyltransferases, CoA-reductases, NADP/ NADH </w:t>
      </w:r>
      <w:r w:rsidR="00743850" w:rsidRPr="00145167">
        <w:t>dependent</w:t>
      </w:r>
      <w:r w:rsidR="00AD0E26" w:rsidRPr="00145167">
        <w:t xml:space="preserve"> reductases, cinnamate-4-hydroxylases</w:t>
      </w:r>
      <w:r w:rsidR="00743850" w:rsidRPr="00145167">
        <w:t xml:space="preserve"> (C4H)</w:t>
      </w:r>
      <w:r w:rsidR="00AD0E26" w:rsidRPr="00145167">
        <w:t xml:space="preserve">, hydrolases, </w:t>
      </w:r>
      <w:proofErr w:type="spellStart"/>
      <w:r w:rsidR="00AD0E26" w:rsidRPr="00145167">
        <w:t>aldo-keto</w:t>
      </w:r>
      <w:proofErr w:type="spellEnd"/>
      <w:r w:rsidR="00AD0E26" w:rsidRPr="00145167">
        <w:t xml:space="preserve"> </w:t>
      </w:r>
      <w:r w:rsidR="00AD0E26" w:rsidRPr="00145167">
        <w:lastRenderedPageBreak/>
        <w:t>reductases, oxidore</w:t>
      </w:r>
      <w:r w:rsidR="00743850" w:rsidRPr="00145167">
        <w:t>ductase</w:t>
      </w:r>
      <w:r w:rsidR="00D453A5" w:rsidRPr="00145167">
        <w:t>s</w:t>
      </w:r>
      <w:r w:rsidR="001F6241">
        <w:t>,</w:t>
      </w:r>
      <w:r w:rsidR="00D453A5" w:rsidRPr="00145167">
        <w:t xml:space="preserve"> and others (Supplementary 2</w:t>
      </w:r>
      <w:r w:rsidRPr="00145167">
        <w:t>; Appendix 3</w:t>
      </w:r>
      <w:r w:rsidR="00AD0E26" w:rsidRPr="00145167">
        <w:t xml:space="preserve">). The third largest group was </w:t>
      </w:r>
      <w:r w:rsidR="00CB2944" w:rsidRPr="00145167">
        <w:t xml:space="preserve">denoted for </w:t>
      </w:r>
      <w:r w:rsidR="00AD0E26" w:rsidRPr="00145167">
        <w:t>tissue differentiation (4.06%) and stress-related proteins (4.06%) such as pathogenesis related, universal stress, zinc finger</w:t>
      </w:r>
      <w:r w:rsidR="001F6241">
        <w:t>,</w:t>
      </w:r>
      <w:r w:rsidR="00AD0E26" w:rsidRPr="00145167">
        <w:t xml:space="preserve"> and chitin or chitinase like proteins (</w:t>
      </w:r>
      <w:r w:rsidR="00D453A5" w:rsidRPr="00145167">
        <w:t>Supplementary 2</w:t>
      </w:r>
      <w:r w:rsidRPr="00145167">
        <w:t>; Appendix 4</w:t>
      </w:r>
      <w:r w:rsidR="00AD0E26" w:rsidRPr="00145167">
        <w:t>). Ot</w:t>
      </w:r>
      <w:r w:rsidR="00CB2944" w:rsidRPr="00145167">
        <w:t xml:space="preserve">her ample groups detected </w:t>
      </w:r>
      <w:r w:rsidR="00AD0E26" w:rsidRPr="00145167">
        <w:t xml:space="preserve">were tissue differentiation related proteins such as ERF, AP2-domain containing, heat-shock, homeobox-containing and glutathione </w:t>
      </w:r>
      <w:r w:rsidR="00AD0E26" w:rsidRPr="00145167">
        <w:rPr>
          <w:i/>
        </w:rPr>
        <w:t>S</w:t>
      </w:r>
      <w:r w:rsidR="00AD0E26" w:rsidRPr="00145167">
        <w:t>-transferases, other transcription factors, ATP/GTP binding, ubiquitin ligases/</w:t>
      </w:r>
      <w:r w:rsidR="00D453A5" w:rsidRPr="00145167">
        <w:t>hydrolases</w:t>
      </w:r>
      <w:r w:rsidR="00AD0E26" w:rsidRPr="00145167">
        <w:t xml:space="preserve"> and sugar</w:t>
      </w:r>
      <w:r w:rsidR="001F6241">
        <w:t>,</w:t>
      </w:r>
      <w:r w:rsidR="00AD0E26" w:rsidRPr="00145167">
        <w:t xml:space="preserve"> and amino acid synthase related proteins</w:t>
      </w:r>
      <w:r w:rsidR="0079487E" w:rsidRPr="00145167">
        <w:t xml:space="preserve"> (</w:t>
      </w:r>
      <w:r w:rsidR="009A7394">
        <w:t>Figure</w:t>
      </w:r>
      <w:r w:rsidR="00743850" w:rsidRPr="00145167">
        <w:t xml:space="preserve"> 3</w:t>
      </w:r>
      <w:r w:rsidR="00D453A5" w:rsidRPr="00145167">
        <w:t>; Supplementary 2</w:t>
      </w:r>
      <w:r w:rsidRPr="00145167">
        <w:t>; Appendix 4</w:t>
      </w:r>
      <w:r w:rsidR="00743850" w:rsidRPr="00145167">
        <w:t>)</w:t>
      </w:r>
      <w:r w:rsidR="00AD0E26" w:rsidRPr="00145167">
        <w:t>.</w:t>
      </w:r>
    </w:p>
    <w:p w:rsidR="00AD0E26" w:rsidRPr="00145167" w:rsidRDefault="00B2468C" w:rsidP="00145167">
      <w:pPr>
        <w:spacing w:line="480" w:lineRule="auto"/>
        <w:rPr>
          <w:noProof/>
        </w:rPr>
      </w:pPr>
      <w:r w:rsidRPr="00145167">
        <w:t xml:space="preserve">The Cuffdiff output showed the </w:t>
      </w:r>
      <w:r w:rsidR="00A35071" w:rsidRPr="00145167">
        <w:t>d</w:t>
      </w:r>
      <w:r w:rsidR="0079487E" w:rsidRPr="00145167">
        <w:t>ifferential expressions  (</w:t>
      </w:r>
      <w:r w:rsidR="009A7394">
        <w:t>Figure</w:t>
      </w:r>
      <w:r w:rsidR="00A35071" w:rsidRPr="00145167">
        <w:t xml:space="preserve"> 4) of </w:t>
      </w:r>
      <w:r w:rsidRPr="00145167">
        <w:t xml:space="preserve">top fifty transcripts </w:t>
      </w:r>
      <w:r w:rsidR="00D453A5" w:rsidRPr="00145167">
        <w:t>with q-values of ≤ 0.01</w:t>
      </w:r>
      <w:r w:rsidR="00A35071" w:rsidRPr="00145167">
        <w:t xml:space="preserve"> </w:t>
      </w:r>
      <w:r w:rsidR="00AD0E26" w:rsidRPr="00145167">
        <w:t>based on total FPKM-values and log</w:t>
      </w:r>
      <w:r w:rsidR="00AD0E26" w:rsidRPr="00145167">
        <w:rPr>
          <w:vertAlign w:val="subscript"/>
        </w:rPr>
        <w:t>2</w:t>
      </w:r>
      <w:r w:rsidR="00AD0E26" w:rsidRPr="00145167">
        <w:t xml:space="preserve"> (fold change). </w:t>
      </w:r>
      <w:r w:rsidR="00A35071" w:rsidRPr="00145167">
        <w:t xml:space="preserve">The </w:t>
      </w:r>
      <w:r w:rsidR="00F574CD" w:rsidRPr="00145167">
        <w:t>transcripts in black box are present in both basal plate and callus tissues in different levels, whereas, the red box represents the transcripts expressed in basal plate but not in callus and the transcripts expressed in callu</w:t>
      </w:r>
      <w:r w:rsidR="0079487E" w:rsidRPr="00145167">
        <w:t>s are marked in blue box (</w:t>
      </w:r>
      <w:r w:rsidR="009A7394">
        <w:t>Figure</w:t>
      </w:r>
      <w:r w:rsidR="00F574CD" w:rsidRPr="00145167">
        <w:t xml:space="preserve"> 4).</w:t>
      </w:r>
    </w:p>
    <w:p w:rsidR="00AD0E26" w:rsidRPr="00145167" w:rsidRDefault="00145167" w:rsidP="00145167">
      <w:pPr>
        <w:spacing w:line="480" w:lineRule="auto"/>
        <w:rPr>
          <w:i/>
        </w:rPr>
      </w:pPr>
      <w:r w:rsidRPr="00145167">
        <w:rPr>
          <w:i/>
        </w:rPr>
        <w:t xml:space="preserve">3.3 </w:t>
      </w:r>
      <w:r w:rsidR="00A23C1C" w:rsidRPr="00145167">
        <w:rPr>
          <w:i/>
        </w:rPr>
        <w:t>Genes or</w:t>
      </w:r>
      <w:r w:rsidRPr="00145167">
        <w:rPr>
          <w:i/>
        </w:rPr>
        <w:t xml:space="preserve"> t</w:t>
      </w:r>
      <w:r w:rsidR="00982A66" w:rsidRPr="00145167">
        <w:rPr>
          <w:i/>
        </w:rPr>
        <w:t xml:space="preserve">ranscripts </w:t>
      </w:r>
      <w:r w:rsidRPr="00145167">
        <w:rPr>
          <w:i/>
        </w:rPr>
        <w:t>related to secondary m</w:t>
      </w:r>
      <w:r w:rsidR="00AD0E26" w:rsidRPr="00145167">
        <w:rPr>
          <w:i/>
        </w:rPr>
        <w:t>etabolism</w:t>
      </w:r>
    </w:p>
    <w:p w:rsidR="006F4ADB" w:rsidRPr="00145167" w:rsidRDefault="00AD0E26" w:rsidP="00145167">
      <w:pPr>
        <w:spacing w:line="480" w:lineRule="auto"/>
      </w:pPr>
      <w:r w:rsidRPr="00145167">
        <w:t xml:space="preserve">The probable genes/ transcripts involved in the secondary metabolite production detected in the </w:t>
      </w:r>
      <w:r w:rsidRPr="00145167">
        <w:rPr>
          <w:i/>
        </w:rPr>
        <w:t>Narcissus</w:t>
      </w:r>
      <w:r w:rsidRPr="00145167">
        <w:t xml:space="preserve"> transcriptome data among the </w:t>
      </w:r>
      <w:r w:rsidR="00982A66" w:rsidRPr="00145167">
        <w:t>206 significantly differential</w:t>
      </w:r>
      <w:r w:rsidRPr="00145167">
        <w:t xml:space="preserve"> expressed genes based on their BLAST annotations were grouped into the five major categories</w:t>
      </w:r>
      <w:r w:rsidR="00982A66" w:rsidRPr="00145167">
        <w:t xml:space="preserve"> such as</w:t>
      </w:r>
      <w:r w:rsidRPr="00145167">
        <w:t xml:space="preserve"> phenylpropanoid pathway related enzymes (Cytochrome P4</w:t>
      </w:r>
      <w:r w:rsidR="001F6241">
        <w:t xml:space="preserve">50s), methyltransferases, </w:t>
      </w:r>
      <w:r w:rsidR="001F6241" w:rsidRPr="001F6241">
        <w:rPr>
          <w:i/>
        </w:rPr>
        <w:t>NADP/</w:t>
      </w:r>
      <w:r w:rsidRPr="001F6241">
        <w:rPr>
          <w:i/>
        </w:rPr>
        <w:t>NADPH</w:t>
      </w:r>
      <w:r w:rsidRPr="00145167">
        <w:t xml:space="preserve"> dependent reductases, oxidoreduc</w:t>
      </w:r>
      <w:r w:rsidR="00982A66" w:rsidRPr="00145167">
        <w:t>tases</w:t>
      </w:r>
      <w:r w:rsidR="001F6241">
        <w:t>,</w:t>
      </w:r>
      <w:r w:rsidR="00982A66" w:rsidRPr="00145167">
        <w:t xml:space="preserve"> and hydrolases (Table 2). Moreover, o</w:t>
      </w:r>
      <w:r w:rsidRPr="00145167">
        <w:t xml:space="preserve">ther </w:t>
      </w:r>
      <w:r w:rsidR="00982A66" w:rsidRPr="00145167">
        <w:t xml:space="preserve">notable </w:t>
      </w:r>
      <w:r w:rsidRPr="00145167">
        <w:t>genes related to s</w:t>
      </w:r>
      <w:r w:rsidR="00982A66" w:rsidRPr="00145167">
        <w:t>econdary metabolism in plants i.e.</w:t>
      </w:r>
      <w:r w:rsidRPr="00145167">
        <w:t xml:space="preserve"> phenolic compounds, </w:t>
      </w:r>
      <w:r w:rsidR="00982A66" w:rsidRPr="00145167">
        <w:t>lectins, polypeptides etc.</w:t>
      </w:r>
      <w:r w:rsidRPr="00145167">
        <w:t xml:space="preserve"> </w:t>
      </w:r>
      <w:r w:rsidR="00982A66" w:rsidRPr="00145167">
        <w:t xml:space="preserve">were also observed in </w:t>
      </w:r>
      <w:r w:rsidR="00982A66" w:rsidRPr="00145167">
        <w:rPr>
          <w:i/>
        </w:rPr>
        <w:t>Narcissus</w:t>
      </w:r>
      <w:r w:rsidR="00982A66" w:rsidRPr="00145167">
        <w:t xml:space="preserve"> basal plate and callus (Table 2)</w:t>
      </w:r>
      <w:r w:rsidR="006F4ADB" w:rsidRPr="00145167">
        <w:t xml:space="preserve">. The significant genes with q-value of ≤ 0.05 are shown here but other transcripts (q-value greater than 0.05) related to Amaryllidaceae alkaloid biosynthesis and other secondary metabolite productions were also detected in </w:t>
      </w:r>
      <w:r w:rsidR="006F4ADB" w:rsidRPr="00145167">
        <w:rPr>
          <w:i/>
        </w:rPr>
        <w:t xml:space="preserve">Narcissus </w:t>
      </w:r>
      <w:r w:rsidR="006F4ADB" w:rsidRPr="00145167">
        <w:t xml:space="preserve">transcriptome data. The data for those transcripts i.e. Cytochrome P450s, methyltransferases, </w:t>
      </w:r>
      <w:r w:rsidR="006F4ADB" w:rsidRPr="00145167">
        <w:rPr>
          <w:rFonts w:eastAsia="Times New Roman"/>
          <w:i/>
        </w:rPr>
        <w:t>S</w:t>
      </w:r>
      <w:r w:rsidR="006F4ADB" w:rsidRPr="00145167">
        <w:rPr>
          <w:rFonts w:eastAsia="Times New Roman"/>
        </w:rPr>
        <w:t>-adenosyl-</w:t>
      </w:r>
      <w:r w:rsidR="006F4ADB" w:rsidRPr="00145167">
        <w:rPr>
          <w:rFonts w:eastAsia="Times New Roman"/>
          <w:i/>
        </w:rPr>
        <w:t>L</w:t>
      </w:r>
      <w:r w:rsidR="006F4ADB" w:rsidRPr="00145167">
        <w:rPr>
          <w:rFonts w:eastAsia="Times New Roman"/>
        </w:rPr>
        <w:t xml:space="preserve">-methionine decarboxylases, </w:t>
      </w:r>
      <w:r w:rsidR="00586A3C">
        <w:rPr>
          <w:i/>
        </w:rPr>
        <w:t>NADP/</w:t>
      </w:r>
      <w:r w:rsidR="006F4ADB" w:rsidRPr="00586A3C">
        <w:rPr>
          <w:i/>
        </w:rPr>
        <w:t>NADPH</w:t>
      </w:r>
      <w:r w:rsidR="006F4ADB" w:rsidRPr="00145167">
        <w:t xml:space="preserve"> reductases, CoA reductase/ ligases, hydrolases and others, with their corresponding q-values has b</w:t>
      </w:r>
      <w:r w:rsidR="008D05F6" w:rsidRPr="00145167">
        <w:t>een listed in Supplementary 2</w:t>
      </w:r>
      <w:r w:rsidR="00F3193D" w:rsidRPr="00145167">
        <w:t>; Appendix 3</w:t>
      </w:r>
      <w:r w:rsidR="006F4ADB" w:rsidRPr="00145167">
        <w:t>.</w:t>
      </w:r>
    </w:p>
    <w:p w:rsidR="00AD0E26" w:rsidRPr="00145167" w:rsidRDefault="00145167" w:rsidP="00145167">
      <w:pPr>
        <w:spacing w:line="480" w:lineRule="auto"/>
        <w:rPr>
          <w:i/>
        </w:rPr>
      </w:pPr>
      <w:r w:rsidRPr="00145167">
        <w:rPr>
          <w:i/>
        </w:rPr>
        <w:lastRenderedPageBreak/>
        <w:t>3.4 Other n</w:t>
      </w:r>
      <w:r w:rsidR="008D05F6" w:rsidRPr="00145167">
        <w:rPr>
          <w:i/>
        </w:rPr>
        <w:t xml:space="preserve">otable </w:t>
      </w:r>
      <w:r w:rsidRPr="00145167">
        <w:rPr>
          <w:i/>
        </w:rPr>
        <w:t>gene/ transcript groups of i</w:t>
      </w:r>
      <w:r w:rsidR="00AD0E26" w:rsidRPr="00145167">
        <w:rPr>
          <w:i/>
        </w:rPr>
        <w:t>nterest</w:t>
      </w:r>
      <w:r w:rsidR="00070500" w:rsidRPr="00145167">
        <w:rPr>
          <w:i/>
        </w:rPr>
        <w:t xml:space="preserve"> </w:t>
      </w:r>
    </w:p>
    <w:p w:rsidR="00AD0E26" w:rsidRPr="00145167" w:rsidRDefault="00AD0E26" w:rsidP="00145167">
      <w:pPr>
        <w:spacing w:line="480" w:lineRule="auto"/>
      </w:pPr>
      <w:r w:rsidRPr="00145167">
        <w:t xml:space="preserve">Beside secondary metabolism related genes, important genes related to tissue growth and development such as tissue differentiation (callus and shoot formation), stress or </w:t>
      </w:r>
      <w:r w:rsidR="00070500" w:rsidRPr="00145167">
        <w:t>defense</w:t>
      </w:r>
      <w:r w:rsidRPr="00145167">
        <w:t xml:space="preserve"> related protein</w:t>
      </w:r>
      <w:r w:rsidR="001F6241">
        <w:t>,</w:t>
      </w:r>
      <w:r w:rsidRPr="00145167">
        <w:t xml:space="preserve"> and ATP synthase were detected in </w:t>
      </w:r>
      <w:r w:rsidRPr="00145167">
        <w:rPr>
          <w:i/>
        </w:rPr>
        <w:t>Narcissus</w:t>
      </w:r>
      <w:r w:rsidR="0079487E" w:rsidRPr="00145167">
        <w:t xml:space="preserve"> transcriptome data (</w:t>
      </w:r>
      <w:r w:rsidR="009A7394">
        <w:t>Figure</w:t>
      </w:r>
      <w:r w:rsidR="00070500" w:rsidRPr="00145167">
        <w:t xml:space="preserve"> 5</w:t>
      </w:r>
      <w:r w:rsidR="008D05F6" w:rsidRPr="00145167">
        <w:t>, Supplementary 2</w:t>
      </w:r>
      <w:r w:rsidR="00F3193D" w:rsidRPr="00145167">
        <w:t>; Appendix 4</w:t>
      </w:r>
      <w:r w:rsidR="00070500" w:rsidRPr="00145167">
        <w:t xml:space="preserve">). </w:t>
      </w:r>
      <w:r w:rsidR="004210F9" w:rsidRPr="00145167">
        <w:t>The stress related transcripts were highly present in callus</w:t>
      </w:r>
      <w:r w:rsidRPr="00145167">
        <w:t xml:space="preserve"> tissues</w:t>
      </w:r>
      <w:r w:rsidR="004210F9" w:rsidRPr="00145167">
        <w:t xml:space="preserve"> along with ATP binding, glutathione S-transferases, ubiquitin, zinc figure</w:t>
      </w:r>
      <w:r w:rsidR="001F6241">
        <w:t>,</w:t>
      </w:r>
      <w:r w:rsidR="004210F9" w:rsidRPr="00145167">
        <w:t xml:space="preserve"> and splicing factors related transcripts than basal plate</w:t>
      </w:r>
      <w:r w:rsidRPr="00145167">
        <w:t>. Those for heat-shock prote</w:t>
      </w:r>
      <w:r w:rsidR="00070500" w:rsidRPr="00145167">
        <w:t xml:space="preserve">ins, which are also responsible </w:t>
      </w:r>
      <w:r w:rsidRPr="00145167">
        <w:t xml:space="preserve">for stress factors and callus formation, were detected in </w:t>
      </w:r>
      <w:r w:rsidR="004210F9" w:rsidRPr="00145167">
        <w:t>greater numbers in callus. Conversely, maximum transcripts of genes responsible for tissue differentiation such as ethylene response factors, AP2-domain containing</w:t>
      </w:r>
      <w:r w:rsidR="001F6241">
        <w:t>,</w:t>
      </w:r>
      <w:r w:rsidR="004210F9" w:rsidRPr="00145167">
        <w:t xml:space="preserve"> and homeobox DNA binding proteins were detected in basal plate</w:t>
      </w:r>
      <w:r w:rsidR="0079487E" w:rsidRPr="00145167">
        <w:t xml:space="preserve"> (</w:t>
      </w:r>
      <w:r w:rsidR="009A7394">
        <w:t>Figure</w:t>
      </w:r>
      <w:r w:rsidR="009159BE" w:rsidRPr="00145167">
        <w:t xml:space="preserve"> 5)</w:t>
      </w:r>
      <w:r w:rsidR="004210F9" w:rsidRPr="00145167">
        <w:t>.</w:t>
      </w:r>
    </w:p>
    <w:p w:rsidR="00AD0E26" w:rsidRPr="00145167" w:rsidRDefault="00145167" w:rsidP="00145167">
      <w:pPr>
        <w:spacing w:line="480" w:lineRule="auto"/>
        <w:rPr>
          <w:i/>
        </w:rPr>
      </w:pPr>
      <w:r w:rsidRPr="00145167">
        <w:rPr>
          <w:i/>
        </w:rPr>
        <w:t>3.5 Functional a</w:t>
      </w:r>
      <w:r w:rsidR="00AD0E26" w:rsidRPr="00145167">
        <w:rPr>
          <w:i/>
        </w:rPr>
        <w:t xml:space="preserve">nnotation of Narcissus </w:t>
      </w:r>
      <w:r w:rsidRPr="00145167">
        <w:rPr>
          <w:i/>
        </w:rPr>
        <w:t>t</w:t>
      </w:r>
      <w:r w:rsidR="00AD0E26" w:rsidRPr="00145167">
        <w:rPr>
          <w:i/>
        </w:rPr>
        <w:t>ranscripts</w:t>
      </w:r>
    </w:p>
    <w:p w:rsidR="009A06D0" w:rsidRPr="00145167" w:rsidRDefault="00204FCA" w:rsidP="00145167">
      <w:pPr>
        <w:spacing w:line="480" w:lineRule="auto"/>
      </w:pPr>
      <w:r w:rsidRPr="00145167">
        <w:t>The Gene Ontology (GO) annotations of 100 out of 111 transcripts were obtained via UniProt which</w:t>
      </w:r>
      <w:r w:rsidR="00AD0E26" w:rsidRPr="00145167">
        <w:t xml:space="preserve"> were detected as si</w:t>
      </w:r>
      <w:r w:rsidRPr="00145167">
        <w:t>gnificantly (q-value ≤ 0.05) up-</w:t>
      </w:r>
      <w:r w:rsidR="00AD0E26" w:rsidRPr="00145167">
        <w:t>regulated in basal plate</w:t>
      </w:r>
      <w:r w:rsidRPr="00145167">
        <w:t>. Few of the</w:t>
      </w:r>
      <w:r w:rsidR="00AD0E26" w:rsidRPr="00145167">
        <w:t xml:space="preserve"> transcripts were assig</w:t>
      </w:r>
      <w:r w:rsidRPr="00145167">
        <w:t>ned to more than one GO category</w:t>
      </w:r>
      <w:r w:rsidR="00AD0E26" w:rsidRPr="00145167">
        <w:t xml:space="preserve">. </w:t>
      </w:r>
      <w:r w:rsidRPr="00145167">
        <w:t>It was observed that 55 transcripts were</w:t>
      </w:r>
      <w:r w:rsidR="00AD0E26" w:rsidRPr="00145167">
        <w:t xml:space="preserve"> assigned to molecular func</w:t>
      </w:r>
      <w:r w:rsidR="004B202B" w:rsidRPr="00145167">
        <w:t>tion with the most enriched terms</w:t>
      </w:r>
      <w:r w:rsidR="00AD0E26" w:rsidRPr="00145167">
        <w:t xml:space="preserve"> being binding and</w:t>
      </w:r>
      <w:r w:rsidR="004B202B" w:rsidRPr="00145167">
        <w:t xml:space="preserve"> catalytic activity, </w:t>
      </w:r>
      <w:r w:rsidR="00AD0E26" w:rsidRPr="00145167">
        <w:t>35 transcripts were assigned to cellular component</w:t>
      </w:r>
      <w:r w:rsidR="004B202B" w:rsidRPr="00145167">
        <w:t xml:space="preserve"> with</w:t>
      </w:r>
      <w:r w:rsidR="00AD0E26" w:rsidRPr="00145167">
        <w:t xml:space="preserve"> cell part, organe</w:t>
      </w:r>
      <w:r w:rsidRPr="00145167">
        <w:t>lle</w:t>
      </w:r>
      <w:r w:rsidR="001F6241">
        <w:t>,</w:t>
      </w:r>
      <w:r w:rsidRPr="00145167">
        <w:t xml:space="preserve"> and membrane/membrane part</w:t>
      </w:r>
      <w:r w:rsidR="004B202B" w:rsidRPr="00145167">
        <w:t xml:space="preserve"> being the most enriched terms</w:t>
      </w:r>
      <w:r w:rsidRPr="00145167">
        <w:t>. Moreover, 49 transcripts were assigned to t</w:t>
      </w:r>
      <w:r w:rsidR="00AD0E26" w:rsidRPr="00145167">
        <w:t>he biological process category showing metabolic process, cellular process</w:t>
      </w:r>
      <w:r w:rsidR="001F6241">
        <w:t>,</w:t>
      </w:r>
      <w:r w:rsidR="00AD0E26" w:rsidRPr="00145167">
        <w:t xml:space="preserve"> and single-organism </w:t>
      </w:r>
      <w:r w:rsidR="004B202B" w:rsidRPr="00145167">
        <w:t>process as the most enriched terms</w:t>
      </w:r>
      <w:r w:rsidR="0079487E" w:rsidRPr="00145167">
        <w:t xml:space="preserve"> (</w:t>
      </w:r>
      <w:r w:rsidR="009A7394">
        <w:t>Figure</w:t>
      </w:r>
      <w:r w:rsidR="0079487E" w:rsidRPr="00145167">
        <w:t xml:space="preserve"> 6a</w:t>
      </w:r>
      <w:r w:rsidR="00B25D02" w:rsidRPr="00145167">
        <w:t>)</w:t>
      </w:r>
      <w:r w:rsidR="009A06D0" w:rsidRPr="00145167">
        <w:t xml:space="preserve">. </w:t>
      </w:r>
    </w:p>
    <w:p w:rsidR="00AD0E26" w:rsidRPr="00145167" w:rsidRDefault="00AD0E26" w:rsidP="00145167">
      <w:pPr>
        <w:spacing w:line="480" w:lineRule="auto"/>
      </w:pPr>
      <w:r w:rsidRPr="00145167">
        <w:t>The functional annotation</w:t>
      </w:r>
      <w:r w:rsidR="00204FCA" w:rsidRPr="00145167">
        <w:t>s</w:t>
      </w:r>
      <w:r w:rsidRPr="00145167">
        <w:t xml:space="preserve"> of 90 </w:t>
      </w:r>
      <w:r w:rsidR="00204FCA" w:rsidRPr="00145167">
        <w:t>among</w:t>
      </w:r>
      <w:r w:rsidRPr="00145167">
        <w:t xml:space="preserve"> </w:t>
      </w:r>
      <w:r w:rsidR="00B25D02" w:rsidRPr="00145167">
        <w:t xml:space="preserve">the </w:t>
      </w:r>
      <w:r w:rsidRPr="00145167">
        <w:t>95 si</w:t>
      </w:r>
      <w:r w:rsidR="00B25D02" w:rsidRPr="00145167">
        <w:t>gnificantly (q-value ≤ 0.05) up-</w:t>
      </w:r>
      <w:r w:rsidRPr="00145167">
        <w:t xml:space="preserve">regulated transcripts </w:t>
      </w:r>
      <w:r w:rsidR="00B25D02" w:rsidRPr="00145167">
        <w:t>were acquired</w:t>
      </w:r>
      <w:r w:rsidRPr="00145167">
        <w:t xml:space="preserve"> in callus</w:t>
      </w:r>
      <w:r w:rsidR="00B25D02" w:rsidRPr="00145167">
        <w:t>.</w:t>
      </w:r>
      <w:r w:rsidRPr="00145167">
        <w:t xml:space="preserve"> </w:t>
      </w:r>
      <w:r w:rsidR="00B25D02" w:rsidRPr="00145167">
        <w:t xml:space="preserve">The </w:t>
      </w:r>
      <w:r w:rsidRPr="00145167">
        <w:t>U</w:t>
      </w:r>
      <w:r w:rsidR="00B25D02" w:rsidRPr="00145167">
        <w:t>niProt GO analysis in callus</w:t>
      </w:r>
      <w:r w:rsidRPr="00145167">
        <w:t xml:space="preserve"> </w:t>
      </w:r>
      <w:r w:rsidR="00B25D02" w:rsidRPr="00145167">
        <w:t xml:space="preserve">revealed 62 transcripts </w:t>
      </w:r>
      <w:r w:rsidRPr="00145167">
        <w:t xml:space="preserve">assigned to </w:t>
      </w:r>
      <w:r w:rsidR="00B25D02" w:rsidRPr="00145167">
        <w:t xml:space="preserve">the </w:t>
      </w:r>
      <w:r w:rsidRPr="00145167">
        <w:t xml:space="preserve">molecular function with catalytic activity and binding </w:t>
      </w:r>
      <w:r w:rsidR="00D332D2" w:rsidRPr="00145167">
        <w:t>as the most enriched terms</w:t>
      </w:r>
      <w:r w:rsidR="00B25D02" w:rsidRPr="00145167">
        <w:t xml:space="preserve">. </w:t>
      </w:r>
      <w:r w:rsidRPr="00145167">
        <w:t xml:space="preserve"> </w:t>
      </w:r>
      <w:r w:rsidR="00B25D02" w:rsidRPr="00145167">
        <w:t xml:space="preserve">Besides, 40 </w:t>
      </w:r>
      <w:r w:rsidRPr="00145167">
        <w:t>transcripts were assigned to cellular component indicating cell, cell part</w:t>
      </w:r>
      <w:r w:rsidR="001F6241">
        <w:t>,</w:t>
      </w:r>
      <w:r w:rsidRPr="00145167">
        <w:t xml:space="preserve"> and membrane as the top three categories and biological process category showed the assignment of </w:t>
      </w:r>
      <w:r w:rsidRPr="00145167">
        <w:lastRenderedPageBreak/>
        <w:t>55 transcripts with th</w:t>
      </w:r>
      <w:r w:rsidR="004B202B" w:rsidRPr="00145167">
        <w:t>e most enriched terms</w:t>
      </w:r>
      <w:r w:rsidRPr="00145167">
        <w:t xml:space="preserve"> being the cellular process, metabolic process</w:t>
      </w:r>
      <w:r w:rsidR="001F6241">
        <w:t>,</w:t>
      </w:r>
      <w:r w:rsidRPr="00145167">
        <w:t xml:space="preserve"> and single-organism process</w:t>
      </w:r>
      <w:r w:rsidR="0079487E" w:rsidRPr="00145167">
        <w:t xml:space="preserve"> (</w:t>
      </w:r>
      <w:r w:rsidR="009A7394">
        <w:t>Figure</w:t>
      </w:r>
      <w:r w:rsidR="0079487E" w:rsidRPr="00145167">
        <w:t xml:space="preserve"> 6b</w:t>
      </w:r>
      <w:r w:rsidR="00B25D02" w:rsidRPr="00145167">
        <w:t>)</w:t>
      </w:r>
      <w:r w:rsidRPr="00145167">
        <w:t>.</w:t>
      </w:r>
    </w:p>
    <w:p w:rsidR="00AD0E26" w:rsidRPr="00145167" w:rsidRDefault="009A63EA" w:rsidP="00145167">
      <w:pPr>
        <w:spacing w:line="480" w:lineRule="auto"/>
      </w:pPr>
      <w:r w:rsidRPr="00145167">
        <w:t>Furthermore, t</w:t>
      </w:r>
      <w:r w:rsidR="00AD0E26" w:rsidRPr="00145167">
        <w:t>he EMBL-EBI Quick GO-Beta annotation (www.ebi.ac.uk/QuickGO-Beta/an</w:t>
      </w:r>
      <w:r w:rsidRPr="00145167">
        <w:t xml:space="preserve">notations) was used </w:t>
      </w:r>
      <w:r w:rsidR="00AD0E26" w:rsidRPr="00145167">
        <w:t xml:space="preserve">to assign the detected transcripts to complement GO functionality predictions with GO terms. </w:t>
      </w:r>
      <w:r w:rsidRPr="00145167">
        <w:t xml:space="preserve">A total of </w:t>
      </w:r>
      <w:r w:rsidR="00AD0E26" w:rsidRPr="00145167">
        <w:t xml:space="preserve">365 GO terms </w:t>
      </w:r>
      <w:r w:rsidRPr="00145167">
        <w:t xml:space="preserve">for 111 basal plate </w:t>
      </w:r>
      <w:r w:rsidR="00AD0E26" w:rsidRPr="00145167">
        <w:t>and 618 GO t</w:t>
      </w:r>
      <w:r w:rsidRPr="00145167">
        <w:t xml:space="preserve">erms for 95 callus transcripts were acquired which was </w:t>
      </w:r>
      <w:r w:rsidR="00AD0E26" w:rsidRPr="00145167">
        <w:t xml:space="preserve">substantially more than </w:t>
      </w:r>
      <w:r w:rsidRPr="00145167">
        <w:t xml:space="preserve">that obtained </w:t>
      </w:r>
      <w:r w:rsidR="00AD0E26" w:rsidRPr="00145167">
        <w:t xml:space="preserve">from </w:t>
      </w:r>
      <w:r w:rsidRPr="00145167">
        <w:t>UniProt. As shown in Figure 7</w:t>
      </w:r>
      <w:r w:rsidR="00AD0E26" w:rsidRPr="00145167">
        <w:t>,</w:t>
      </w:r>
      <w:r w:rsidRPr="00145167">
        <w:t xml:space="preserve"> in case of</w:t>
      </w:r>
      <w:r w:rsidR="00AD0E26" w:rsidRPr="00145167">
        <w:t xml:space="preserve"> basal plate, 162 (44.38%) GO terms were assigned for molecular function, 112 (30.68%) for biological process</w:t>
      </w:r>
      <w:r w:rsidR="001F6241">
        <w:t>,</w:t>
      </w:r>
      <w:r w:rsidR="00AD0E26" w:rsidRPr="00145167">
        <w:t xml:space="preserve"> and 91 (24.93%) for cellular component. </w:t>
      </w:r>
      <w:r w:rsidR="00012095" w:rsidRPr="00145167">
        <w:t xml:space="preserve">Similarly, </w:t>
      </w:r>
      <w:r w:rsidR="00AD0E26" w:rsidRPr="00145167">
        <w:t xml:space="preserve">275 (44.5%), 196 </w:t>
      </w:r>
      <w:r w:rsidR="00012095" w:rsidRPr="00145167">
        <w:t>(31.72%)</w:t>
      </w:r>
      <w:r w:rsidR="001F6241">
        <w:t>,</w:t>
      </w:r>
      <w:r w:rsidR="00012095" w:rsidRPr="00145167">
        <w:t xml:space="preserve"> </w:t>
      </w:r>
      <w:r w:rsidR="00AD0E26" w:rsidRPr="00145167">
        <w:t>and 147 (23.79%)</w:t>
      </w:r>
      <w:r w:rsidR="00012095" w:rsidRPr="00145167">
        <w:t xml:space="preserve"> GO terms were</w:t>
      </w:r>
      <w:r w:rsidR="00AD0E26" w:rsidRPr="00145167">
        <w:t xml:space="preserve"> assigned for </w:t>
      </w:r>
      <w:r w:rsidR="00012095" w:rsidRPr="00145167">
        <w:t>molecular function, biological process</w:t>
      </w:r>
      <w:r w:rsidR="001F6241">
        <w:t>,</w:t>
      </w:r>
      <w:r w:rsidR="00012095" w:rsidRPr="00145167">
        <w:t xml:space="preserve"> and </w:t>
      </w:r>
      <w:r w:rsidR="00AD0E26" w:rsidRPr="00145167">
        <w:t>cellular component</w:t>
      </w:r>
      <w:r w:rsidR="00012095" w:rsidRPr="00145167">
        <w:t xml:space="preserve"> respectively in callus</w:t>
      </w:r>
      <w:r w:rsidR="00AD0E26" w:rsidRPr="00145167">
        <w:t>. The proportions assigned to each category were therefore essentially the same for both tissues but with several terms to each transcript.</w:t>
      </w:r>
      <w:r w:rsidR="00012095" w:rsidRPr="00145167">
        <w:t xml:space="preserve"> In addition, s</w:t>
      </w:r>
      <w:r w:rsidR="00AD0E26" w:rsidRPr="00145167">
        <w:t>econdary</w:t>
      </w:r>
      <w:r w:rsidR="00AD0E26" w:rsidRPr="00145167">
        <w:rPr>
          <w:rFonts w:eastAsia="Times New Roman"/>
          <w:lang w:eastAsia="en-GB"/>
        </w:rPr>
        <w:t xml:space="preserve"> metabolism related GO terms were possible to detect using Quick GO-Beta annotations, which were not found in UniProt GO annotation </w:t>
      </w:r>
      <w:r w:rsidR="00AD0E26" w:rsidRPr="00145167">
        <w:t xml:space="preserve">such as GO terms for </w:t>
      </w:r>
      <w:r w:rsidR="00AD0E26" w:rsidRPr="00145167">
        <w:rPr>
          <w:i/>
        </w:rPr>
        <w:t>O</w:t>
      </w:r>
      <w:r w:rsidR="00AD0E26" w:rsidRPr="00145167">
        <w:t>-methyltransferase activity (GO:0008171), methyltransferase activity (GO:0008168)</w:t>
      </w:r>
      <w:r w:rsidR="001F6241">
        <w:t>,</w:t>
      </w:r>
      <w:r w:rsidR="00AD0E26" w:rsidRPr="00145167">
        <w:t xml:space="preserve"> and S-adenosylmethionine-dependent methyltransferase activity (GO:0008757) were </w:t>
      </w:r>
      <w:r w:rsidR="00012095" w:rsidRPr="00145167">
        <w:t xml:space="preserve">found in basal plate that were </w:t>
      </w:r>
      <w:r w:rsidR="00AD0E26" w:rsidRPr="00145167">
        <w:t>not</w:t>
      </w:r>
      <w:r w:rsidR="00012095" w:rsidRPr="00145167">
        <w:t xml:space="preserve"> present in callus. </w:t>
      </w:r>
      <w:r w:rsidR="00AD0E26" w:rsidRPr="00145167">
        <w:t>The top three GO terms for basal plate, assigned to molecular functions were metal ion binding (</w:t>
      </w:r>
      <w:r w:rsidR="00AD0E26" w:rsidRPr="00145167">
        <w:rPr>
          <w:rFonts w:eastAsia="Times New Roman"/>
          <w:lang w:eastAsia="en-GB"/>
        </w:rPr>
        <w:t>GO</w:t>
      </w:r>
      <w:proofErr w:type="gramStart"/>
      <w:r w:rsidR="00AD0E26" w:rsidRPr="00145167">
        <w:rPr>
          <w:rFonts w:eastAsia="Times New Roman"/>
          <w:lang w:eastAsia="en-GB"/>
        </w:rPr>
        <w:t>:0046872</w:t>
      </w:r>
      <w:proofErr w:type="gramEnd"/>
      <w:r w:rsidR="00AD0E26" w:rsidRPr="00145167">
        <w:rPr>
          <w:rFonts w:eastAsia="Times New Roman"/>
          <w:lang w:eastAsia="en-GB"/>
        </w:rPr>
        <w:t>), oxidoreductase activity (GO:0016491)</w:t>
      </w:r>
      <w:r w:rsidR="001F6241">
        <w:rPr>
          <w:rFonts w:eastAsia="Times New Roman"/>
          <w:lang w:eastAsia="en-GB"/>
        </w:rPr>
        <w:t>,</w:t>
      </w:r>
      <w:r w:rsidR="00AD0E26" w:rsidRPr="00145167">
        <w:rPr>
          <w:rFonts w:eastAsia="Times New Roman"/>
          <w:lang w:eastAsia="en-GB"/>
        </w:rPr>
        <w:t xml:space="preserve"> and DNA binding (GO:0003677).</w:t>
      </w:r>
      <w:r w:rsidR="00AD0E26" w:rsidRPr="00145167">
        <w:t xml:space="preserve"> On the other hand, </w:t>
      </w:r>
      <w:r w:rsidR="00AD0E26" w:rsidRPr="00145167">
        <w:rPr>
          <w:rFonts w:eastAsia="Times New Roman"/>
          <w:lang w:eastAsia="en-GB"/>
        </w:rPr>
        <w:t>ATP binding (GO:0005524), catalytic activity</w:t>
      </w:r>
      <w:r w:rsidR="00AD0E26" w:rsidRPr="00145167">
        <w:t xml:space="preserve"> (</w:t>
      </w:r>
      <w:r w:rsidR="00AD0E26" w:rsidRPr="00145167">
        <w:rPr>
          <w:rFonts w:eastAsia="Times New Roman"/>
          <w:lang w:eastAsia="en-GB"/>
        </w:rPr>
        <w:t xml:space="preserve">GO:0003824), nucleotide binding (GO:0000166), oxidoreductase activity (GO:0016491), </w:t>
      </w:r>
      <w:r w:rsidR="00012095" w:rsidRPr="00145167">
        <w:rPr>
          <w:rFonts w:eastAsia="Times New Roman"/>
          <w:lang w:eastAsia="en-GB"/>
        </w:rPr>
        <w:t>transferases</w:t>
      </w:r>
      <w:r w:rsidR="00AD0E26" w:rsidRPr="00145167">
        <w:rPr>
          <w:rFonts w:eastAsia="Times New Roman"/>
          <w:lang w:eastAsia="en-GB"/>
        </w:rPr>
        <w:t xml:space="preserve"> activity (GO:0016740) were the top assigned molecular functions related GO terms detected in callus </w:t>
      </w:r>
      <w:r w:rsidR="0079487E" w:rsidRPr="00145167">
        <w:t>(</w:t>
      </w:r>
      <w:r w:rsidR="009A7394">
        <w:t>Figure</w:t>
      </w:r>
      <w:r w:rsidR="00FE678C" w:rsidRPr="00145167">
        <w:t xml:space="preserve"> 7; Supplementary 2</w:t>
      </w:r>
      <w:r w:rsidR="00F3193D" w:rsidRPr="00145167">
        <w:t>; Appendix 5</w:t>
      </w:r>
      <w:r w:rsidR="00012095" w:rsidRPr="00145167">
        <w:t>)</w:t>
      </w:r>
      <w:r w:rsidR="00AD0E26" w:rsidRPr="00145167">
        <w:rPr>
          <w:rFonts w:eastAsia="Times New Roman"/>
          <w:lang w:eastAsia="en-GB"/>
        </w:rPr>
        <w:t>.</w:t>
      </w:r>
      <w:r w:rsidR="00012095" w:rsidRPr="00145167">
        <w:t xml:space="preserve"> </w:t>
      </w:r>
      <w:r w:rsidR="00AD0E26" w:rsidRPr="00145167">
        <w:t>A full list of all annotated GO terms (Quick GO-Beta) detected in basal plate and callus with their corr</w:t>
      </w:r>
      <w:r w:rsidR="0079487E" w:rsidRPr="00145167">
        <w:t>esponding gene descriptions are</w:t>
      </w:r>
      <w:r w:rsidR="00012095" w:rsidRPr="00145167">
        <w:t xml:space="preserve"> </w:t>
      </w:r>
      <w:r w:rsidR="00AD0E26" w:rsidRPr="00145167">
        <w:t xml:space="preserve">in </w:t>
      </w:r>
      <w:r w:rsidR="00FE678C" w:rsidRPr="00145167">
        <w:t>Supplementary 2</w:t>
      </w:r>
      <w:r w:rsidR="00F3193D" w:rsidRPr="00145167">
        <w:t>; Appendix 5</w:t>
      </w:r>
      <w:r w:rsidR="00AD0E26" w:rsidRPr="00145167">
        <w:t>.</w:t>
      </w:r>
    </w:p>
    <w:p w:rsidR="00AD0E26" w:rsidRPr="00145167" w:rsidRDefault="00145167" w:rsidP="00145167">
      <w:pPr>
        <w:spacing w:line="480" w:lineRule="auto"/>
        <w:rPr>
          <w:i/>
        </w:rPr>
      </w:pPr>
      <w:r w:rsidRPr="00145167">
        <w:rPr>
          <w:i/>
        </w:rPr>
        <w:t>3.6 Pathway a</w:t>
      </w:r>
      <w:r w:rsidR="00AD0E26" w:rsidRPr="00145167">
        <w:rPr>
          <w:i/>
        </w:rPr>
        <w:t>nalyses of Narcissus</w:t>
      </w:r>
      <w:r w:rsidRPr="00145167">
        <w:rPr>
          <w:i/>
        </w:rPr>
        <w:t xml:space="preserve"> t</w:t>
      </w:r>
      <w:r w:rsidR="00AD0E26" w:rsidRPr="00145167">
        <w:rPr>
          <w:i/>
        </w:rPr>
        <w:t>ranscripts</w:t>
      </w:r>
    </w:p>
    <w:p w:rsidR="004B204A" w:rsidRDefault="002F7689" w:rsidP="00145167">
      <w:pPr>
        <w:spacing w:line="480" w:lineRule="auto"/>
      </w:pPr>
      <w:r w:rsidRPr="00145167">
        <w:t xml:space="preserve">The UniProt IDs of </w:t>
      </w:r>
      <w:r w:rsidR="00AD0E26" w:rsidRPr="00145167">
        <w:t xml:space="preserve">basal plate and callus transcripts were separately mapped to their corresponding KEGG Orthology (KO) using the UniProtKB Retrieve/ID mapping tool. A total of </w:t>
      </w:r>
      <w:r w:rsidR="00AD0E26" w:rsidRPr="00145167">
        <w:lastRenderedPageBreak/>
        <w:t xml:space="preserve">28 KO for basal plate and 78 for callus were retrieved by mapping against the corresponding UniProt IDs. The KO IDs were then mapped to KEGG Pathway Mapper that yielded a total of </w:t>
      </w:r>
      <w:r w:rsidR="00012095" w:rsidRPr="00145167">
        <w:t>55 mapped pathways</w:t>
      </w:r>
      <w:r w:rsidR="00AD0E26" w:rsidRPr="00145167">
        <w:t xml:space="preserve"> for basal plate a</w:t>
      </w:r>
      <w:r w:rsidRPr="00145167">
        <w:t>nd 78 KEGG pathways for callus. It was evident</w:t>
      </w:r>
      <w:r w:rsidR="00AD0E26" w:rsidRPr="00145167">
        <w:t xml:space="preserve"> that the mapped pathways for basal plate with highest number of hits (enzyme classes) were mainly corresponded with the pathways related to secondary metabolite production</w:t>
      </w:r>
      <w:r w:rsidRPr="00145167">
        <w:t xml:space="preserve"> (Supplementary</w:t>
      </w:r>
      <w:r w:rsidR="00FE678C" w:rsidRPr="00145167">
        <w:t xml:space="preserve"> 1;</w:t>
      </w:r>
      <w:r w:rsidRPr="00145167">
        <w:t xml:space="preserve"> Table S3)</w:t>
      </w:r>
      <w:r w:rsidR="00AD0E26" w:rsidRPr="00145167">
        <w:t>.</w:t>
      </w:r>
      <w:r w:rsidRPr="00145167">
        <w:t xml:space="preserve"> Likewise, the KEGG pathways mapped in callus were also </w:t>
      </w:r>
      <w:r w:rsidR="00FE678C" w:rsidRPr="00145167">
        <w:t xml:space="preserve">found to be </w:t>
      </w:r>
      <w:r w:rsidRPr="00145167">
        <w:t>related to secondary metabolism. Moreover, carbon metabolism and glycolysis related pa</w:t>
      </w:r>
      <w:r w:rsidR="00FE678C" w:rsidRPr="00145167">
        <w:t>thways were detected in callus that was</w:t>
      </w:r>
      <w:r w:rsidRPr="00145167">
        <w:t xml:space="preserve"> not found in basal plate (Supplementary</w:t>
      </w:r>
      <w:r w:rsidR="00FE678C" w:rsidRPr="00145167">
        <w:t>1;</w:t>
      </w:r>
      <w:r w:rsidRPr="00145167">
        <w:t xml:space="preserve"> Table S4). Pathways related to aromatic amino acid metabolism were present in both basal plate and callus (Supplementary</w:t>
      </w:r>
      <w:r w:rsidR="00FE678C" w:rsidRPr="00145167">
        <w:t xml:space="preserve"> 1;</w:t>
      </w:r>
      <w:r w:rsidRPr="00145167">
        <w:t xml:space="preserve"> Table S3 and Table S4).</w:t>
      </w:r>
      <w:r w:rsidR="00022CB5">
        <w:t xml:space="preserve"> </w:t>
      </w:r>
    </w:p>
    <w:p w:rsidR="009A06D0" w:rsidRPr="00145167" w:rsidRDefault="00AD0E26" w:rsidP="00145167">
      <w:pPr>
        <w:spacing w:line="480" w:lineRule="auto"/>
      </w:pPr>
      <w:r w:rsidRPr="00145167">
        <w:t>The Plant Reactome database (plantreactome.gramene.org) for plant metabolomic and regulatory pathways is a freely accessible, curated and peer reviewed pathway database</w:t>
      </w:r>
      <w:r w:rsidR="00104B8D" w:rsidRPr="00145167">
        <w:t xml:space="preserve"> which provided</w:t>
      </w:r>
      <w:r w:rsidRPr="00145167">
        <w:t xml:space="preserve"> an alternative way to ma</w:t>
      </w:r>
      <w:r w:rsidR="00104B8D" w:rsidRPr="00145167">
        <w:t xml:space="preserve">p metabolic pathways of </w:t>
      </w:r>
      <w:r w:rsidR="00104B8D" w:rsidRPr="00145167">
        <w:rPr>
          <w:i/>
        </w:rPr>
        <w:t>Narcissus</w:t>
      </w:r>
      <w:r w:rsidR="00104B8D" w:rsidRPr="00145167">
        <w:t xml:space="preserve"> transcripts</w:t>
      </w:r>
      <w:r w:rsidRPr="00145167">
        <w:t>.</w:t>
      </w:r>
      <w:r w:rsidR="008614CC" w:rsidRPr="00145167">
        <w:t xml:space="preserve"> </w:t>
      </w:r>
      <w:r w:rsidRPr="00145167">
        <w:t>The KO IDs obtained from UniProtKB Retrieve/ID mapping tool were mapped back to UniProtKB IDs for both ba</w:t>
      </w:r>
      <w:r w:rsidR="008614CC" w:rsidRPr="00145167">
        <w:t>sal plate and callus that yielded</w:t>
      </w:r>
      <w:r w:rsidRPr="00145167">
        <w:t xml:space="preserve"> 45</w:t>
      </w:r>
      <w:r w:rsidR="008614CC" w:rsidRPr="00145167">
        <w:t xml:space="preserve"> and 120</w:t>
      </w:r>
      <w:r w:rsidRPr="00145167">
        <w:t xml:space="preserve"> UniProt genes corresponding to </w:t>
      </w:r>
      <w:r w:rsidRPr="00145167">
        <w:rPr>
          <w:i/>
        </w:rPr>
        <w:t>Oryza sativa</w:t>
      </w:r>
      <w:r w:rsidRPr="00145167">
        <w:t xml:space="preserve"> for basal</w:t>
      </w:r>
      <w:r w:rsidR="008614CC" w:rsidRPr="00145167">
        <w:t xml:space="preserve"> plate and</w:t>
      </w:r>
      <w:r w:rsidRPr="00145167">
        <w:t xml:space="preserve"> callus</w:t>
      </w:r>
      <w:r w:rsidR="008614CC" w:rsidRPr="00145167">
        <w:t xml:space="preserve"> respectively. These UniProt genes were</w:t>
      </w:r>
      <w:r w:rsidRPr="00145167">
        <w:t xml:space="preserve"> mapped to the Plant Reactome </w:t>
      </w:r>
      <w:r w:rsidRPr="00145167">
        <w:rPr>
          <w:i/>
        </w:rPr>
        <w:t>Oryza sativa</w:t>
      </w:r>
      <w:r w:rsidRPr="00145167">
        <w:t xml:space="preserve"> pathway database</w:t>
      </w:r>
      <w:r w:rsidR="008614CC" w:rsidRPr="00145167">
        <w:t xml:space="preserve"> which revealed </w:t>
      </w:r>
      <w:r w:rsidRPr="00145167">
        <w:t>14</w:t>
      </w:r>
      <w:r w:rsidR="00FE678C" w:rsidRPr="00145167">
        <w:t xml:space="preserve"> and 26</w:t>
      </w:r>
      <w:r w:rsidRPr="00145167">
        <w:t xml:space="preserve"> pathways for</w:t>
      </w:r>
      <w:r w:rsidR="00FE678C" w:rsidRPr="00145167">
        <w:t xml:space="preserve"> basal plate and</w:t>
      </w:r>
      <w:r w:rsidRPr="00145167">
        <w:t xml:space="preserve"> callus</w:t>
      </w:r>
      <w:r w:rsidR="00FE678C" w:rsidRPr="00145167">
        <w:t xml:space="preserve"> respectively</w:t>
      </w:r>
      <w:r w:rsidRPr="00145167">
        <w:t>. The pathways related to secondary metabolism (according to database) and central metabolis</w:t>
      </w:r>
      <w:r w:rsidR="008614CC" w:rsidRPr="00145167">
        <w:t>m are represented in Table 3 and t</w:t>
      </w:r>
      <w:r w:rsidRPr="00145167">
        <w:t>he details</w:t>
      </w:r>
      <w:r w:rsidR="00FE678C" w:rsidRPr="00145167">
        <w:t xml:space="preserve"> of all detected pathways are reported </w:t>
      </w:r>
      <w:r w:rsidR="008614CC" w:rsidRPr="00145167">
        <w:t>in Supplementary</w:t>
      </w:r>
      <w:r w:rsidR="00FE678C" w:rsidRPr="00145167">
        <w:t xml:space="preserve"> 1;</w:t>
      </w:r>
      <w:r w:rsidR="008614CC" w:rsidRPr="00145167">
        <w:t xml:space="preserve"> Table S5</w:t>
      </w:r>
      <w:r w:rsidR="009A06D0" w:rsidRPr="00145167">
        <w:t>.</w:t>
      </w:r>
    </w:p>
    <w:p w:rsidR="005F565F" w:rsidRPr="00145167" w:rsidRDefault="008614CC" w:rsidP="00145167">
      <w:pPr>
        <w:spacing w:line="480" w:lineRule="auto"/>
      </w:pPr>
      <w:r w:rsidRPr="00145167">
        <w:t xml:space="preserve">The postulated pathway of secondary metabolite biosynthesis in </w:t>
      </w:r>
      <w:r w:rsidRPr="00145167">
        <w:rPr>
          <w:i/>
        </w:rPr>
        <w:t>Narcissus</w:t>
      </w:r>
      <w:r w:rsidRPr="00145167">
        <w:t xml:space="preserve">, </w:t>
      </w:r>
      <w:r w:rsidR="00AD0E26" w:rsidRPr="00145167">
        <w:t xml:space="preserve">based on </w:t>
      </w:r>
      <w:r w:rsidRPr="00145167">
        <w:t xml:space="preserve">KEGG and Plant Reactome </w:t>
      </w:r>
      <w:r w:rsidR="00AD0E26" w:rsidRPr="00145167">
        <w:t>showed differential enzyme expressions (basal plate, callus and both) yielding different secondary metabolites including alkaloids (isoquinoline, indole, quinoline, terpenoids, and Amaryllidaceae alkaloids), plant hormone synthesis, lignin bi</w:t>
      </w:r>
      <w:r w:rsidRPr="00145167">
        <w:t xml:space="preserve">osynthesis as well as pathways related </w:t>
      </w:r>
      <w:r w:rsidR="00AD0E26" w:rsidRPr="00145167">
        <w:t>to amino acid (phenylalanine, tyrosine and tryptophan) metabolism</w:t>
      </w:r>
      <w:r w:rsidR="0079487E" w:rsidRPr="00145167">
        <w:t xml:space="preserve"> (</w:t>
      </w:r>
      <w:r w:rsidR="009A7394">
        <w:t>Figure</w:t>
      </w:r>
      <w:r w:rsidRPr="00145167">
        <w:t xml:space="preserve"> 8)</w:t>
      </w:r>
      <w:r w:rsidR="005F565F" w:rsidRPr="00145167">
        <w:t>.</w:t>
      </w:r>
    </w:p>
    <w:p w:rsidR="005F565F" w:rsidRPr="00145167" w:rsidRDefault="005F565F" w:rsidP="00D2595E">
      <w:pPr>
        <w:pStyle w:val="ListParagraph"/>
        <w:numPr>
          <w:ilvl w:val="0"/>
          <w:numId w:val="8"/>
        </w:numPr>
        <w:spacing w:after="0" w:line="480" w:lineRule="auto"/>
        <w:ind w:left="284" w:hanging="284"/>
        <w:rPr>
          <w:sz w:val="24"/>
          <w:szCs w:val="24"/>
        </w:rPr>
      </w:pPr>
      <w:r w:rsidRPr="00145167">
        <w:rPr>
          <w:b/>
          <w:sz w:val="24"/>
          <w:szCs w:val="24"/>
        </w:rPr>
        <w:t>Discussion</w:t>
      </w:r>
    </w:p>
    <w:p w:rsidR="005F565F" w:rsidRPr="00145167" w:rsidRDefault="005F565F" w:rsidP="00145167">
      <w:pPr>
        <w:spacing w:line="480" w:lineRule="auto"/>
      </w:pPr>
      <w:r w:rsidRPr="00145167">
        <w:lastRenderedPageBreak/>
        <w:t>Secondary metabolites produced by plants are invaluable sources of medicines, food additives</w:t>
      </w:r>
      <w:r w:rsidR="001F6241">
        <w:t>,</w:t>
      </w:r>
      <w:r w:rsidRPr="00145167">
        <w:t xml:space="preserve"> and industrial products, being widely used for human benefits. However, a little is known about the genes or enzymes involved in the biosynthesis or accumulation of these metabolites in whole plant as well as in plant cell cultures (</w:t>
      </w:r>
      <w:r w:rsidR="0079487E" w:rsidRPr="00145167">
        <w:t xml:space="preserve">Wang </w:t>
      </w:r>
      <w:r w:rsidR="00D2595E">
        <w:t>et al.,</w:t>
      </w:r>
      <w:r w:rsidRPr="00145167">
        <w:t xml:space="preserve"> 2019; </w:t>
      </w:r>
      <w:r w:rsidR="0079487E" w:rsidRPr="00145167">
        <w:t>Karuppusamy</w:t>
      </w:r>
      <w:r w:rsidR="00C509FC">
        <w:t>,</w:t>
      </w:r>
      <w:r w:rsidRPr="00145167">
        <w:t xml:space="preserve"> 2009</w:t>
      </w:r>
      <w:r w:rsidRPr="002F5487">
        <w:t xml:space="preserve">). </w:t>
      </w:r>
      <w:r w:rsidRPr="002F5487">
        <w:rPr>
          <w:i/>
        </w:rPr>
        <w:t>Narcissus</w:t>
      </w:r>
      <w:r w:rsidRPr="002F5487">
        <w:t xml:space="preserve"> is a well-reporte</w:t>
      </w:r>
      <w:r w:rsidR="00CE1637" w:rsidRPr="002F5487">
        <w:t>d genus</w:t>
      </w:r>
      <w:r w:rsidRPr="002F5487">
        <w:t xml:space="preserve"> producing a wide range of m</w:t>
      </w:r>
      <w:r w:rsidR="00CE1637" w:rsidRPr="002F5487">
        <w:t>etabolites along with pharmaceutically</w:t>
      </w:r>
      <w:r w:rsidRPr="002F5487">
        <w:t xml:space="preserve"> important alkaloids such as galanthamine, lycorine, </w:t>
      </w:r>
      <w:r w:rsidR="00CE1637" w:rsidRPr="002F5487">
        <w:t xml:space="preserve">lycoramine, </w:t>
      </w:r>
      <w:r w:rsidRPr="002F5487">
        <w:t>narciclasine, haemanthamine (</w:t>
      </w:r>
      <w:r w:rsidR="0079487E" w:rsidRPr="002F5487">
        <w:t xml:space="preserve">Ferdausi </w:t>
      </w:r>
      <w:r w:rsidR="00D2595E" w:rsidRPr="002F5487">
        <w:t>et al.,</w:t>
      </w:r>
      <w:r w:rsidRPr="002F5487">
        <w:t xml:space="preserve"> 2020; </w:t>
      </w:r>
      <w:r w:rsidR="0079487E" w:rsidRPr="002F5487">
        <w:t xml:space="preserve">Lubbe </w:t>
      </w:r>
      <w:r w:rsidR="00D2595E" w:rsidRPr="002F5487">
        <w:t>et al.,</w:t>
      </w:r>
      <w:r w:rsidRPr="002F5487">
        <w:t xml:space="preserve"> 2013, </w:t>
      </w:r>
      <w:r w:rsidR="008A4D1D" w:rsidRPr="002F5487">
        <w:t>Takos and Rook</w:t>
      </w:r>
      <w:r w:rsidR="00C509FC" w:rsidRPr="002F5487">
        <w:t>,</w:t>
      </w:r>
      <w:r w:rsidRPr="002F5487">
        <w:t xml:space="preserve"> 2013). The bulbs, especially the basal plate of </w:t>
      </w:r>
      <w:r w:rsidRPr="002F5487">
        <w:rPr>
          <w:i/>
        </w:rPr>
        <w:t>Narcissus</w:t>
      </w:r>
      <w:r w:rsidRPr="002F5487">
        <w:t xml:space="preserve"> showed the production of the highest amount of galanthamine, one of the pharmaceutically important alkaloids along with other related metabolites. While, the </w:t>
      </w:r>
      <w:r w:rsidRPr="002F5487">
        <w:rPr>
          <w:i/>
        </w:rPr>
        <w:t>in vitro</w:t>
      </w:r>
      <w:r w:rsidRPr="002F5487">
        <w:t xml:space="preserve"> induced callus indicated the low</w:t>
      </w:r>
      <w:r w:rsidR="001F6241" w:rsidRPr="002F5487">
        <w:t>est galanthamine content using gas chromatography-mass spectrophotometry</w:t>
      </w:r>
      <w:r w:rsidRPr="002F5487">
        <w:t xml:space="preserve"> (</w:t>
      </w:r>
      <w:r w:rsidR="008A4D1D" w:rsidRPr="002F5487">
        <w:t xml:space="preserve">Ferdausi </w:t>
      </w:r>
      <w:r w:rsidR="00D2595E" w:rsidRPr="002F5487">
        <w:t>et al.,</w:t>
      </w:r>
      <w:r w:rsidRPr="002F5487">
        <w:t xml:space="preserve"> 2020).</w:t>
      </w:r>
      <w:r w:rsidR="0089123F" w:rsidRPr="002F5487">
        <w:t xml:space="preserve"> However, relative expression analysis using RT-PCR showed the diverse expression pattern of putative transcripts </w:t>
      </w:r>
      <w:r w:rsidR="00CE1637" w:rsidRPr="002F5487">
        <w:t xml:space="preserve">involved in the secondary metabolites production </w:t>
      </w:r>
      <w:r w:rsidR="0089123F" w:rsidRPr="002F5487">
        <w:t xml:space="preserve">such as </w:t>
      </w:r>
      <w:r w:rsidR="0089123F" w:rsidRPr="002F5487">
        <w:rPr>
          <w:i/>
        </w:rPr>
        <w:t>PAL</w:t>
      </w:r>
      <w:r w:rsidR="0089123F" w:rsidRPr="002F5487">
        <w:t xml:space="preserve">, </w:t>
      </w:r>
      <w:r w:rsidR="0089123F" w:rsidRPr="002F5487">
        <w:rPr>
          <w:i/>
        </w:rPr>
        <w:t>TYDC</w:t>
      </w:r>
      <w:r w:rsidR="0089123F" w:rsidRPr="002F5487">
        <w:t xml:space="preserve">, </w:t>
      </w:r>
      <w:r w:rsidR="001F6241" w:rsidRPr="002F5487">
        <w:rPr>
          <w:i/>
        </w:rPr>
        <w:t>OMT</w:t>
      </w:r>
      <w:r w:rsidR="001F6241" w:rsidRPr="002F5487">
        <w:t>,</w:t>
      </w:r>
      <w:r w:rsidR="0089123F" w:rsidRPr="002F5487">
        <w:t xml:space="preserve"> and P450s in field as well as in </w:t>
      </w:r>
      <w:r w:rsidR="0089123F" w:rsidRPr="002F5487">
        <w:rPr>
          <w:i/>
        </w:rPr>
        <w:t>in vitro</w:t>
      </w:r>
      <w:r w:rsidR="000138DC">
        <w:t xml:space="preserve"> tissues</w:t>
      </w:r>
      <w:r w:rsidR="0089123F" w:rsidRPr="002F5487">
        <w:t xml:space="preserve"> of </w:t>
      </w:r>
      <w:r w:rsidR="0089123F" w:rsidRPr="002F5487">
        <w:rPr>
          <w:i/>
        </w:rPr>
        <w:t>Narcissus</w:t>
      </w:r>
      <w:r w:rsidR="0089123F" w:rsidRPr="002F5487">
        <w:t xml:space="preserve"> (Ferdausi et al., 2021b).</w:t>
      </w:r>
      <w:r w:rsidRPr="002F5487">
        <w:t xml:space="preserve"> </w:t>
      </w:r>
      <w:r w:rsidR="00287B9C" w:rsidRPr="002F5487">
        <w:t xml:space="preserve">Hence, further </w:t>
      </w:r>
      <w:r w:rsidR="001F6241" w:rsidRPr="002F5487">
        <w:t>transcriptome and pathway</w:t>
      </w:r>
      <w:r w:rsidR="00287B9C" w:rsidRPr="002F5487">
        <w:t xml:space="preserve"> analys</w:t>
      </w:r>
      <w:r w:rsidR="001F6241" w:rsidRPr="002F5487">
        <w:t>es</w:t>
      </w:r>
      <w:r w:rsidR="00287B9C" w:rsidRPr="002F5487">
        <w:t xml:space="preserve"> </w:t>
      </w:r>
      <w:r w:rsidR="001F6241" w:rsidRPr="002F5487">
        <w:t>are</w:t>
      </w:r>
      <w:r w:rsidR="00287B9C" w:rsidRPr="002F5487">
        <w:t xml:space="preserve"> required to have a deep insight on the genes involved and their metabolic networking and regulation in valuable secondary metabolites production in </w:t>
      </w:r>
      <w:r w:rsidR="00287B9C" w:rsidRPr="002F5487">
        <w:rPr>
          <w:i/>
        </w:rPr>
        <w:t>Narcissus</w:t>
      </w:r>
      <w:r w:rsidR="00287B9C" w:rsidRPr="002F5487">
        <w:t xml:space="preserve">. </w:t>
      </w:r>
      <w:r w:rsidRPr="002F5487">
        <w:t>Transcripto</w:t>
      </w:r>
      <w:r w:rsidRPr="00145167">
        <w:t>me analysis (RNA-seq) is an effective platform for the identification and functional characterization of novel candidate genes as well as to identify genes encoding uncharacterized enzymes (</w:t>
      </w:r>
      <w:r w:rsidR="008A4D1D" w:rsidRPr="00145167">
        <w:t xml:space="preserve">Desgagné-Penix </w:t>
      </w:r>
      <w:r w:rsidR="00D2595E">
        <w:t>et al.,</w:t>
      </w:r>
      <w:r w:rsidRPr="00145167">
        <w:t xml:space="preserve"> 2010). Hence, a RNA-seq platform, which has been established as a valuable technology for transcriptome studies in non-model plants such as </w:t>
      </w:r>
      <w:r w:rsidRPr="00145167">
        <w:rPr>
          <w:i/>
        </w:rPr>
        <w:t>Narcissus</w:t>
      </w:r>
      <w:r w:rsidRPr="00145167">
        <w:t xml:space="preserve"> for which genomic information in limited (</w:t>
      </w:r>
      <w:r w:rsidR="008A4D1D" w:rsidRPr="00145167">
        <w:t xml:space="preserve">Hotchandani </w:t>
      </w:r>
      <w:r w:rsidR="00D2595E">
        <w:t>et al.,</w:t>
      </w:r>
      <w:r w:rsidRPr="00145167">
        <w:t xml:space="preserve"> 2019; </w:t>
      </w:r>
      <w:r w:rsidR="008A4D1D" w:rsidRPr="00145167">
        <w:t xml:space="preserve">Park </w:t>
      </w:r>
      <w:r w:rsidR="00D2595E">
        <w:t>et al.,</w:t>
      </w:r>
      <w:r w:rsidRPr="00145167">
        <w:t xml:space="preserve"> 2019), was taken into account for transcriptome comparison of </w:t>
      </w:r>
      <w:r w:rsidRPr="00145167">
        <w:rPr>
          <w:i/>
        </w:rPr>
        <w:t>Narcissus pseudonarcissus</w:t>
      </w:r>
      <w:r w:rsidRPr="00145167">
        <w:t xml:space="preserve"> cv. Carlton basal plate and callus in terms of s</w:t>
      </w:r>
      <w:r w:rsidR="00D47526" w:rsidRPr="00145167">
        <w:t xml:space="preserve">econdary metabolites production. </w:t>
      </w:r>
    </w:p>
    <w:p w:rsidR="00D47526" w:rsidRPr="00145167" w:rsidRDefault="00D47526" w:rsidP="00145167">
      <w:pPr>
        <w:spacing w:line="480" w:lineRule="auto"/>
      </w:pPr>
      <w:r w:rsidRPr="00145167">
        <w:t xml:space="preserve">Six (6) sequence libraries of basal plate (3) and callus (3) were generated but one replicate of basal plate (CBS2) showed very high mapping (74%) to rRNA due to inadequate rRNA depletion and poor statistics in post-run; although it was processed and treated as all others samples and </w:t>
      </w:r>
      <w:r w:rsidRPr="00145167">
        <w:lastRenderedPageBreak/>
        <w:t>showed good results in initial quality check on Bioanalyser (RIN &gt; 7; clear 18S and 28S peaks and 28S/ 18S ratios 1.5-2.0) (</w:t>
      </w:r>
      <w:r w:rsidR="008A4D1D" w:rsidRPr="00145167">
        <w:t xml:space="preserve">Ward </w:t>
      </w:r>
      <w:r w:rsidR="00D2595E">
        <w:t>et al.,</w:t>
      </w:r>
      <w:r w:rsidRPr="00145167">
        <w:t xml:space="preserve"> 2012; </w:t>
      </w:r>
      <w:r w:rsidR="008A4D1D" w:rsidRPr="00145167">
        <w:t xml:space="preserve">Johnson </w:t>
      </w:r>
      <w:r w:rsidR="00D2595E">
        <w:t>et al.,</w:t>
      </w:r>
      <w:r w:rsidR="008A4D1D" w:rsidRPr="00145167">
        <w:t xml:space="preserve"> </w:t>
      </w:r>
      <w:r w:rsidRPr="00145167">
        <w:t>2012). This result indicates that the measurements of RNA quality unfortunately cannot always predict successful sequencing as well as could affect the measurement of gene expression (</w:t>
      </w:r>
      <w:r w:rsidR="008A4D1D" w:rsidRPr="00145167">
        <w:t xml:space="preserve">Romero </w:t>
      </w:r>
      <w:r w:rsidR="00D2595E">
        <w:t>et al.,</w:t>
      </w:r>
      <w:r w:rsidRPr="00145167">
        <w:t xml:space="preserve"> 2014). Repeating the sequencing of one sample was not possible due to the expense and limitation of CGR sequencing protocol set-up.</w:t>
      </w:r>
    </w:p>
    <w:p w:rsidR="009A06D0" w:rsidRPr="00145167" w:rsidRDefault="009A06D0" w:rsidP="00145167">
      <w:pPr>
        <w:spacing w:line="480" w:lineRule="auto"/>
      </w:pPr>
      <w:r w:rsidRPr="00145167">
        <w:t xml:space="preserve">In case of non-model plants, </w:t>
      </w:r>
      <w:r w:rsidRPr="00145167">
        <w:rPr>
          <w:i/>
        </w:rPr>
        <w:t>de novo</w:t>
      </w:r>
      <w:r w:rsidRPr="00145167">
        <w:t xml:space="preserve"> assembly is often used (</w:t>
      </w:r>
      <w:r w:rsidR="008A4D1D" w:rsidRPr="00145167">
        <w:t xml:space="preserve">Kilgore </w:t>
      </w:r>
      <w:r w:rsidR="00D2595E">
        <w:t>et al.,</w:t>
      </w:r>
      <w:r w:rsidR="008A4D1D" w:rsidRPr="00145167">
        <w:t xml:space="preserve"> 2014, Kilgore </w:t>
      </w:r>
      <w:r w:rsidR="00D2595E">
        <w:t>et al.,</w:t>
      </w:r>
      <w:r w:rsidRPr="00145167">
        <w:t xml:space="preserve"> 2016a, </w:t>
      </w:r>
      <w:r w:rsidR="008A4D1D" w:rsidRPr="00145167">
        <w:t xml:space="preserve">Hotchandani </w:t>
      </w:r>
      <w:r w:rsidR="00D2595E">
        <w:t>et al.,</w:t>
      </w:r>
      <w:r w:rsidRPr="00145167">
        <w:t xml:space="preserve"> 2019), nevertheless, mapping strategy has also been reported as more applicable for differential expressio</w:t>
      </w:r>
      <w:r w:rsidR="00892E9E">
        <w:t>n analysis in non-model plant</w:t>
      </w:r>
      <w:r w:rsidRPr="00145167">
        <w:t>s (</w:t>
      </w:r>
      <w:r w:rsidR="008A4D1D" w:rsidRPr="00145167">
        <w:t xml:space="preserve">Vijay </w:t>
      </w:r>
      <w:r w:rsidR="00D2595E">
        <w:t>et al.,</w:t>
      </w:r>
      <w:r w:rsidRPr="00145167">
        <w:t xml:space="preserve"> 2013). The </w:t>
      </w:r>
      <w:r w:rsidRPr="00145167">
        <w:rPr>
          <w:i/>
        </w:rPr>
        <w:t>Narcissus</w:t>
      </w:r>
      <w:r w:rsidRPr="00145167">
        <w:t xml:space="preserve"> basal plate and callus transcriptome sequences of this study were mapped to </w:t>
      </w:r>
      <w:r w:rsidRPr="00145167">
        <w:rPr>
          <w:i/>
        </w:rPr>
        <w:t>Narcissus spp</w:t>
      </w:r>
      <w:r w:rsidRPr="00145167">
        <w:t>. transcriptome data published on MedPlant RNA Seq Database (</w:t>
      </w:r>
      <w:hyperlink r:id="rId14" w:history="1">
        <w:r w:rsidRPr="00145167">
          <w:rPr>
            <w:rStyle w:val="Hyperlink"/>
            <w:color w:val="auto"/>
          </w:rPr>
          <w:t>https://medplantrnaseq.org/</w:t>
        </w:r>
      </w:hyperlink>
      <w:r w:rsidRPr="00145167">
        <w:t>) (</w:t>
      </w:r>
      <w:r w:rsidR="008A4D1D" w:rsidRPr="00145167">
        <w:t xml:space="preserve">Kilgore </w:t>
      </w:r>
      <w:r w:rsidR="00D2595E">
        <w:t>et al.,</w:t>
      </w:r>
      <w:r w:rsidRPr="00145167">
        <w:t xml:space="preserve"> 2014). Differential gene expression analysis for </w:t>
      </w:r>
      <w:r w:rsidRPr="00145167">
        <w:rPr>
          <w:i/>
        </w:rPr>
        <w:t>Narcissus</w:t>
      </w:r>
      <w:r w:rsidRPr="00145167">
        <w:t xml:space="preserve"> basal plate and callus transcriptome data was performed on Discovery Environment (</w:t>
      </w:r>
      <w:r w:rsidR="008A4D1D" w:rsidRPr="00145167">
        <w:t xml:space="preserve">Oliver </w:t>
      </w:r>
      <w:r w:rsidR="00D2595E">
        <w:t>et al.,</w:t>
      </w:r>
      <w:r w:rsidRPr="00145167">
        <w:t xml:space="preserve"> 2013) and Atmosphere of a well-documented cyber-infrastructure CyVerse which was previously known as iPlant Collaborative (</w:t>
      </w:r>
      <w:r w:rsidR="008A4D1D" w:rsidRPr="00145167">
        <w:t xml:space="preserve">Goff </w:t>
      </w:r>
      <w:r w:rsidR="00D2595E">
        <w:t>et al.,</w:t>
      </w:r>
      <w:r w:rsidRPr="00145167">
        <w:t xml:space="preserve"> 2011). Typically, read alignment rate more than 50% is required to obtain an optimum differential expression analysis but lower mapping rates may be obtained due to the lack of complete annotated genome, poor read quality or the presence of contaminants (</w:t>
      </w:r>
      <w:r w:rsidR="008A4D1D" w:rsidRPr="00145167">
        <w:t xml:space="preserve">Trapnell </w:t>
      </w:r>
      <w:r w:rsidR="00D2595E">
        <w:t>et al.,</w:t>
      </w:r>
      <w:r w:rsidRPr="00145167">
        <w:t xml:space="preserve"> 2012). The sequence alignment of our data to MedPlant </w:t>
      </w:r>
      <w:r w:rsidRPr="00145167">
        <w:rPr>
          <w:i/>
        </w:rPr>
        <w:t xml:space="preserve">Narcissus </w:t>
      </w:r>
      <w:r w:rsidRPr="00145167">
        <w:t xml:space="preserve">transcriptome using TopHat showed overall mapping coverage ranging from around 35% to 48% of total input except for one replicates of basal plate (19%) which indicated a moderate mapping coverage. The mapping rate obtained from our results might be due to the lack of complete annotated transcriptome or poor read quality of one replicates of basal plate. Moreover, the reference transcriptome of </w:t>
      </w:r>
      <w:r w:rsidRPr="00145167">
        <w:rPr>
          <w:i/>
        </w:rPr>
        <w:t>Narcissus spp</w:t>
      </w:r>
      <w:r w:rsidRPr="00145167">
        <w:t>. used could be from different variety as it was not confirmed as Carlton and reported to be likely Carlton (</w:t>
      </w:r>
      <w:r w:rsidR="008A4D1D" w:rsidRPr="00145167">
        <w:t xml:space="preserve">Kilgore </w:t>
      </w:r>
      <w:r w:rsidR="00D2595E">
        <w:t>et al.,</w:t>
      </w:r>
      <w:r w:rsidRPr="00145167">
        <w:t xml:space="preserve"> 2014) and thus the presence of SNPs and other polymorphism may affect the mapping. Furthermore, the reference transcriptome assembly constructed based on daffodil leaf, inflorescence and bulb samples (</w:t>
      </w:r>
      <w:r w:rsidR="008A4D1D" w:rsidRPr="00145167">
        <w:t xml:space="preserve">Kilgore </w:t>
      </w:r>
      <w:r w:rsidR="00D2595E">
        <w:t>et al.,</w:t>
      </w:r>
      <w:r w:rsidRPr="00145167">
        <w:t xml:space="preserve"> 2014). Whereas </w:t>
      </w:r>
      <w:r w:rsidRPr="00145167">
        <w:lastRenderedPageBreak/>
        <w:t xml:space="preserve">the </w:t>
      </w:r>
      <w:r w:rsidRPr="00145167">
        <w:rPr>
          <w:i/>
        </w:rPr>
        <w:t>Narcissus</w:t>
      </w:r>
      <w:r w:rsidRPr="00145167">
        <w:t xml:space="preserve"> transcriptome data in this study obtained from Carlton basal plate and </w:t>
      </w:r>
      <w:r w:rsidRPr="00145167">
        <w:rPr>
          <w:i/>
        </w:rPr>
        <w:t>in vitro</w:t>
      </w:r>
      <w:r w:rsidRPr="00145167">
        <w:t xml:space="preserve"> tissue (Callus), which might also affect the overall mapping for sample divergence. However, read alignment rate ranging from 17% to 94% using TopHat has bee</w:t>
      </w:r>
      <w:r w:rsidR="00892E9E">
        <w:t>n reported previously, which was</w:t>
      </w:r>
      <w:r w:rsidRPr="00145167">
        <w:t xml:space="preserve"> acceptable for differential analysis (</w:t>
      </w:r>
      <w:r w:rsidR="008A4D1D" w:rsidRPr="00145167">
        <w:t xml:space="preserve">Trapnell </w:t>
      </w:r>
      <w:r w:rsidR="00D2595E">
        <w:t>et al.,</w:t>
      </w:r>
      <w:r w:rsidRPr="00145167">
        <w:t xml:space="preserve"> 2009).</w:t>
      </w:r>
    </w:p>
    <w:p w:rsidR="009A06D0" w:rsidRPr="00145167" w:rsidRDefault="009A06D0" w:rsidP="00145167">
      <w:pPr>
        <w:spacing w:line="480" w:lineRule="auto"/>
      </w:pPr>
      <w:r w:rsidRPr="00145167">
        <w:t>The aligned reads after assembly (Cufflinks) resulted in a total of 2153 Cuff genes which allows the identification of genes in any system and also suggests experiments to establish their regulation pattern (</w:t>
      </w:r>
      <w:r w:rsidR="008A4D1D" w:rsidRPr="00145167">
        <w:t xml:space="preserve">Trapnell </w:t>
      </w:r>
      <w:r w:rsidR="00D2595E">
        <w:t>et al.,</w:t>
      </w:r>
      <w:r w:rsidRPr="00145167">
        <w:t xml:space="preserve"> 2010). The Cuffdiff outputs provided a number of files (</w:t>
      </w:r>
      <w:r w:rsidR="008A4D1D" w:rsidRPr="00145167">
        <w:t xml:space="preserve">Trapnell </w:t>
      </w:r>
      <w:r w:rsidR="00D2595E">
        <w:t>et al.,</w:t>
      </w:r>
      <w:r w:rsidRPr="00145167">
        <w:t xml:space="preserve"> 2012) to study 2153 differentially expressed and regulated genes; among which 64.21% transcripts were up-regulated in callus and 35.79% were up-regulated in basal plate, this could be due to the higher mapping rate of callus transcriptome than the basal plate. However, 206 genes or transcripts were detected as significant differentially expressed (q-values ≤ 0.05) in the two conditions under study where higher numbers of significant different genes were up-regulated in basal plate (111) than in callus (95). </w:t>
      </w:r>
    </w:p>
    <w:p w:rsidR="009A06D0" w:rsidRPr="00145167" w:rsidRDefault="009A06D0" w:rsidP="00145167">
      <w:pPr>
        <w:spacing w:line="480" w:lineRule="auto"/>
      </w:pPr>
      <w:r w:rsidRPr="00145167">
        <w:t>Approximately, 79% of the differentially expressed genes were annotated which revealed eleven abundant gene groups of which uncharacterized proteins (10.24%), secondary metabolism related proteins (8.88%), stress related proteins (4.06%), tissue (callus/shoot) differentiation (4.06%), ATP/GTP binding (3.82%)</w:t>
      </w:r>
      <w:r w:rsidR="00F044B7">
        <w:t>,</w:t>
      </w:r>
      <w:r w:rsidRPr="00145167">
        <w:t xml:space="preserve"> and transcription factors (3.06%) were the mostly enriched groups. Transcriptome analysis of opium poppy cell cultures showed the presence of secondary metabolism related genes such as the most abundance transcripts encoding putative cytochrome P450 with the next abundant enzymes involved in the biosynthesis of </w:t>
      </w:r>
      <w:r w:rsidRPr="00145167">
        <w:rPr>
          <w:i/>
        </w:rPr>
        <w:t>S</w:t>
      </w:r>
      <w:r w:rsidRPr="00145167">
        <w:t>-adenosylmethionine such as SAM synthetase. Other abundant transcripts were defense/stress response proteins, peroxidase, pathogenesis-related proteins</w:t>
      </w:r>
      <w:r w:rsidR="00F044B7">
        <w:t>,</w:t>
      </w:r>
      <w:r w:rsidRPr="00145167">
        <w:t xml:space="preserve"> and ubiquitin (</w:t>
      </w:r>
      <w:r w:rsidR="008A4D1D" w:rsidRPr="00145167">
        <w:t xml:space="preserve">Desgagné-Penix </w:t>
      </w:r>
      <w:r w:rsidR="00D2595E">
        <w:t>et al.,</w:t>
      </w:r>
      <w:r w:rsidRPr="00145167">
        <w:t xml:space="preserve"> 2010), which were also found as major gene groups in our samples (</w:t>
      </w:r>
      <w:r w:rsidR="009A7394">
        <w:t>Figure</w:t>
      </w:r>
      <w:r w:rsidR="008A4D1D" w:rsidRPr="00145167">
        <w:t xml:space="preserve"> 3; </w:t>
      </w:r>
      <w:r w:rsidR="009A7394">
        <w:t>Figure</w:t>
      </w:r>
      <w:r w:rsidRPr="00145167">
        <w:t xml:space="preserve"> 5).</w:t>
      </w:r>
    </w:p>
    <w:p w:rsidR="009A06D0" w:rsidRPr="00145167" w:rsidRDefault="009A06D0" w:rsidP="00145167">
      <w:pPr>
        <w:spacing w:line="480" w:lineRule="auto"/>
      </w:pPr>
      <w:r w:rsidRPr="00145167">
        <w:t>The most abundant transcripts associated with plant growth, development, metabolism, defense, transport</w:t>
      </w:r>
      <w:r w:rsidR="00F044B7">
        <w:t>,</w:t>
      </w:r>
      <w:r w:rsidRPr="00145167">
        <w:t xml:space="preserve"> and cellular structure were obtained from our dataset which were commonly reported in other plants (</w:t>
      </w:r>
      <w:r w:rsidR="008A4D1D" w:rsidRPr="00145167">
        <w:t xml:space="preserve">Desgagné-Penix </w:t>
      </w:r>
      <w:r w:rsidR="00D2595E">
        <w:t>et al.,</w:t>
      </w:r>
      <w:r w:rsidRPr="00145167">
        <w:t xml:space="preserve"> 2010; </w:t>
      </w:r>
      <w:r w:rsidR="008A4D1D" w:rsidRPr="00145167">
        <w:rPr>
          <w:shd w:val="clear" w:color="auto" w:fill="FFFFFF"/>
        </w:rPr>
        <w:t xml:space="preserve">Délano-Frier </w:t>
      </w:r>
      <w:r w:rsidR="00D2595E">
        <w:rPr>
          <w:shd w:val="clear" w:color="auto" w:fill="FFFFFF"/>
        </w:rPr>
        <w:t>et al.,</w:t>
      </w:r>
      <w:r w:rsidRPr="00145167">
        <w:rPr>
          <w:shd w:val="clear" w:color="auto" w:fill="FFFFFF"/>
        </w:rPr>
        <w:t xml:space="preserve"> 2011; </w:t>
      </w:r>
      <w:r w:rsidR="008A4D1D" w:rsidRPr="00145167">
        <w:t xml:space="preserve">Desgagné-Penix </w:t>
      </w:r>
      <w:r w:rsidR="00D2595E">
        <w:t>et al.,</w:t>
      </w:r>
      <w:r w:rsidRPr="00145167">
        <w:t xml:space="preserve"> 2012). </w:t>
      </w:r>
      <w:r w:rsidRPr="00145167">
        <w:lastRenderedPageBreak/>
        <w:t xml:space="preserve">The most significantly (q-value ≤ 0.05) up-regulated genes detected in basal plate were secondary metabolism related enzymes involved in the later stage of secondary metabolite or alkaloid biosynthesis; such as cytochrome </w:t>
      </w:r>
      <w:r w:rsidRPr="00145167">
        <w:rPr>
          <w:i/>
        </w:rPr>
        <w:t>P450s</w:t>
      </w:r>
      <w:r w:rsidRPr="00145167">
        <w:t xml:space="preserve">, </w:t>
      </w:r>
      <w:r w:rsidRPr="00145167">
        <w:rPr>
          <w:i/>
        </w:rPr>
        <w:t>OMTs</w:t>
      </w:r>
      <w:r w:rsidRPr="00145167">
        <w:t xml:space="preserve">, </w:t>
      </w:r>
      <w:r w:rsidRPr="00145167">
        <w:rPr>
          <w:i/>
        </w:rPr>
        <w:t>NADP/NADPH</w:t>
      </w:r>
      <w:r w:rsidRPr="00145167">
        <w:t xml:space="preserve"> dehydrogenases/ reductases and </w:t>
      </w:r>
      <w:r w:rsidRPr="00145167">
        <w:rPr>
          <w:i/>
        </w:rPr>
        <w:t>S</w:t>
      </w:r>
      <w:r w:rsidRPr="00145167">
        <w:t>-adenosylmethionine synthetases/ decarboxylases</w:t>
      </w:r>
      <w:r w:rsidR="00F044B7">
        <w:t>,</w:t>
      </w:r>
      <w:r w:rsidRPr="00145167">
        <w:t xml:space="preserve"> and lectins (</w:t>
      </w:r>
      <w:r w:rsidR="008A4D1D" w:rsidRPr="00145167">
        <w:t xml:space="preserve">Berkov </w:t>
      </w:r>
      <w:r w:rsidR="00D2595E">
        <w:t>et al.,</w:t>
      </w:r>
      <w:r w:rsidRPr="00145167">
        <w:t xml:space="preserve"> 2014; </w:t>
      </w:r>
      <w:r w:rsidR="008A4D1D" w:rsidRPr="00145167">
        <w:t>Singh and Desgagné-Penix</w:t>
      </w:r>
      <w:r w:rsidR="00C509FC">
        <w:t>,</w:t>
      </w:r>
      <w:r w:rsidRPr="00145167">
        <w:t xml:space="preserve"> 2017). Other important transcripts which were found to be up-regulated in basal plate with q-values higher than 0.05 and related to secondary metabolism were </w:t>
      </w:r>
      <w:r w:rsidRPr="00145167">
        <w:rPr>
          <w:rFonts w:eastAsia="Times New Roman"/>
        </w:rPr>
        <w:t>3-ketoacyl-CoA, acyl-CoA, cinnamoyl-CoA, cinnamate 4-hydroxylase, alcohol dehydrogenase</w:t>
      </w:r>
      <w:r w:rsidR="00F044B7">
        <w:rPr>
          <w:rFonts w:eastAsia="Times New Roman"/>
        </w:rPr>
        <w:t>,</w:t>
      </w:r>
      <w:r w:rsidRPr="00145167">
        <w:rPr>
          <w:rFonts w:eastAsia="Times New Roman"/>
        </w:rPr>
        <w:t xml:space="preserve"> and caffeic acid </w:t>
      </w:r>
      <w:r w:rsidRPr="00145167">
        <w:rPr>
          <w:rFonts w:eastAsia="Times New Roman"/>
          <w:i/>
        </w:rPr>
        <w:t>O</w:t>
      </w:r>
      <w:r w:rsidRPr="00145167">
        <w:rPr>
          <w:rFonts w:eastAsia="Times New Roman"/>
        </w:rPr>
        <w:t>-methyltransferase (</w:t>
      </w:r>
      <w:r w:rsidR="008A4D1D" w:rsidRPr="00145167">
        <w:rPr>
          <w:rFonts w:eastAsia="Times New Roman"/>
        </w:rPr>
        <w:t xml:space="preserve">Zhao </w:t>
      </w:r>
      <w:r w:rsidR="00D2595E">
        <w:rPr>
          <w:rFonts w:eastAsia="Times New Roman"/>
        </w:rPr>
        <w:t>et al.,</w:t>
      </w:r>
      <w:r w:rsidRPr="00145167">
        <w:rPr>
          <w:rFonts w:eastAsia="Times New Roman"/>
        </w:rPr>
        <w:t xml:space="preserve"> 2014; </w:t>
      </w:r>
      <w:r w:rsidR="008A4D1D" w:rsidRPr="00145167">
        <w:rPr>
          <w:rFonts w:eastAsia="Times New Roman"/>
        </w:rPr>
        <w:t xml:space="preserve">Sengupta </w:t>
      </w:r>
      <w:r w:rsidR="00D2595E">
        <w:rPr>
          <w:rFonts w:eastAsia="Times New Roman"/>
        </w:rPr>
        <w:t>et al.,</w:t>
      </w:r>
      <w:r w:rsidRPr="00145167">
        <w:rPr>
          <w:rFonts w:eastAsia="Times New Roman"/>
        </w:rPr>
        <w:t xml:space="preserve"> 2015).</w:t>
      </w:r>
      <w:r w:rsidRPr="00145167">
        <w:t xml:space="preserve"> </w:t>
      </w:r>
      <w:r w:rsidRPr="00145167">
        <w:rPr>
          <w:rFonts w:eastAsia="Times New Roman"/>
        </w:rPr>
        <w:t xml:space="preserve">A candidate </w:t>
      </w:r>
      <w:r w:rsidRPr="00145167">
        <w:rPr>
          <w:rFonts w:eastAsia="Times New Roman"/>
          <w:i/>
        </w:rPr>
        <w:t>O</w:t>
      </w:r>
      <w:r w:rsidRPr="00145167">
        <w:rPr>
          <w:rFonts w:eastAsia="Times New Roman"/>
        </w:rPr>
        <w:t>-methyltransferase; (</w:t>
      </w:r>
      <w:r w:rsidRPr="00145167">
        <w:rPr>
          <w:rFonts w:eastAsia="Times New Roman"/>
          <w:i/>
        </w:rPr>
        <w:t>Np</w:t>
      </w:r>
      <w:r w:rsidRPr="00145167">
        <w:rPr>
          <w:rFonts w:eastAsia="Times New Roman"/>
        </w:rPr>
        <w:t>N4OMT) responsible for the methylation of norbelladine to intermediate precursor 4'-</w:t>
      </w:r>
      <w:r w:rsidRPr="00681D05">
        <w:rPr>
          <w:rFonts w:eastAsia="Times New Roman"/>
          <w:i/>
        </w:rPr>
        <w:t>O</w:t>
      </w:r>
      <w:r w:rsidRPr="00145167">
        <w:rPr>
          <w:rFonts w:eastAsia="Times New Roman"/>
        </w:rPr>
        <w:t>-methylnorbelladine  (</w:t>
      </w:r>
      <w:r w:rsidR="008A4D1D" w:rsidRPr="00145167">
        <w:rPr>
          <w:rFonts w:eastAsia="Times New Roman"/>
        </w:rPr>
        <w:t xml:space="preserve">Kilgore </w:t>
      </w:r>
      <w:r w:rsidR="00D2595E">
        <w:rPr>
          <w:rFonts w:eastAsia="Times New Roman"/>
        </w:rPr>
        <w:t>et al.,</w:t>
      </w:r>
      <w:r w:rsidRPr="00145167">
        <w:rPr>
          <w:rFonts w:eastAsia="Times New Roman"/>
        </w:rPr>
        <w:t xml:space="preserve"> 2014) and cytochrome </w:t>
      </w:r>
      <w:r w:rsidRPr="00145167">
        <w:rPr>
          <w:rFonts w:eastAsia="Times New Roman"/>
          <w:i/>
        </w:rPr>
        <w:t>P450</w:t>
      </w:r>
      <w:r w:rsidRPr="00145167">
        <w:rPr>
          <w:rFonts w:eastAsia="Times New Roman"/>
        </w:rPr>
        <w:t xml:space="preserve"> (</w:t>
      </w:r>
      <w:r w:rsidRPr="00145167">
        <w:rPr>
          <w:rFonts w:eastAsia="Times New Roman"/>
          <w:i/>
        </w:rPr>
        <w:t>CYP96T1</w:t>
      </w:r>
      <w:r w:rsidRPr="00145167">
        <w:rPr>
          <w:rFonts w:eastAsia="Times New Roman"/>
        </w:rPr>
        <w:t xml:space="preserve">) catalyzing the para-para </w:t>
      </w:r>
      <w:r w:rsidRPr="00681D05">
        <w:rPr>
          <w:rFonts w:eastAsia="Times New Roman"/>
          <w:i/>
        </w:rPr>
        <w:t>C-C</w:t>
      </w:r>
      <w:r w:rsidRPr="00145167">
        <w:rPr>
          <w:rFonts w:eastAsia="Times New Roman"/>
        </w:rPr>
        <w:t xml:space="preserve"> phenol coupling (</w:t>
      </w:r>
      <w:r w:rsidR="008A4D1D" w:rsidRPr="00145167">
        <w:rPr>
          <w:rFonts w:eastAsia="Times New Roman"/>
        </w:rPr>
        <w:t xml:space="preserve">Kilgore </w:t>
      </w:r>
      <w:r w:rsidR="00D2595E">
        <w:rPr>
          <w:rFonts w:eastAsia="Times New Roman"/>
        </w:rPr>
        <w:t>et al.,</w:t>
      </w:r>
      <w:r w:rsidRPr="00145167">
        <w:rPr>
          <w:rFonts w:eastAsia="Times New Roman"/>
        </w:rPr>
        <w:t xml:space="preserve"> 2016a) in the Amaryllidaceae alkaloid biosynthesis have already been proposed in </w:t>
      </w:r>
      <w:r w:rsidRPr="00145167">
        <w:rPr>
          <w:rFonts w:eastAsia="Times New Roman"/>
          <w:i/>
        </w:rPr>
        <w:t>N. pseudonarcissus</w:t>
      </w:r>
      <w:r w:rsidRPr="00145167">
        <w:rPr>
          <w:rFonts w:eastAsia="Times New Roman"/>
        </w:rPr>
        <w:t xml:space="preserve">. The plant </w:t>
      </w:r>
      <w:r w:rsidRPr="00145167">
        <w:rPr>
          <w:rFonts w:eastAsia="Times New Roman"/>
          <w:i/>
        </w:rPr>
        <w:t>O</w:t>
      </w:r>
      <w:r w:rsidRPr="00145167">
        <w:rPr>
          <w:rFonts w:eastAsia="Times New Roman"/>
        </w:rPr>
        <w:t xml:space="preserve">-methylation reactions are mostly catalyzed by </w:t>
      </w:r>
      <w:r w:rsidRPr="00145167">
        <w:rPr>
          <w:rFonts w:eastAsia="Times New Roman"/>
          <w:i/>
        </w:rPr>
        <w:t>SAM</w:t>
      </w:r>
      <w:r w:rsidRPr="00145167">
        <w:rPr>
          <w:rFonts w:eastAsia="Times New Roman"/>
        </w:rPr>
        <w:t>-dependent methyltransferases (</w:t>
      </w:r>
      <w:r w:rsidR="008A4D1D" w:rsidRPr="00145167">
        <w:rPr>
          <w:rFonts w:eastAsia="Times New Roman"/>
        </w:rPr>
        <w:t xml:space="preserve">Liscombe </w:t>
      </w:r>
      <w:r w:rsidR="00D2595E">
        <w:rPr>
          <w:rFonts w:eastAsia="Times New Roman"/>
        </w:rPr>
        <w:t>et al.,</w:t>
      </w:r>
      <w:r w:rsidRPr="00145167">
        <w:rPr>
          <w:rFonts w:eastAsia="Times New Roman"/>
        </w:rPr>
        <w:t xml:space="preserve"> 2012). Other probable enzymes related to alkaloid biosynthesis in Amaryllidaceae were also detected in basal plate such as </w:t>
      </w:r>
      <w:proofErr w:type="spellStart"/>
      <w:r w:rsidRPr="00145167">
        <w:rPr>
          <w:rFonts w:eastAsia="Times New Roman"/>
        </w:rPr>
        <w:t>aldo-keto</w:t>
      </w:r>
      <w:proofErr w:type="spellEnd"/>
      <w:r w:rsidRPr="00145167">
        <w:rPr>
          <w:rFonts w:eastAsia="Times New Roman"/>
        </w:rPr>
        <w:t xml:space="preserve"> reductases</w:t>
      </w:r>
      <w:r w:rsidR="00F044B7">
        <w:rPr>
          <w:rFonts w:eastAsia="Times New Roman"/>
        </w:rPr>
        <w:t>,</w:t>
      </w:r>
      <w:r w:rsidRPr="00145167">
        <w:rPr>
          <w:rFonts w:eastAsia="Times New Roman"/>
        </w:rPr>
        <w:t xml:space="preserve"> and alcohol dehydrogenase, reported for the reduction of ketones, aldehydes, </w:t>
      </w:r>
      <w:r w:rsidRPr="00681D05">
        <w:rPr>
          <w:rFonts w:eastAsia="Times New Roman"/>
          <w:i/>
        </w:rPr>
        <w:t>C-C</w:t>
      </w:r>
      <w:r w:rsidRPr="00145167">
        <w:rPr>
          <w:rFonts w:eastAsia="Times New Roman"/>
        </w:rPr>
        <w:t xml:space="preserve"> double bond</w:t>
      </w:r>
      <w:r w:rsidR="00681D05">
        <w:rPr>
          <w:rFonts w:eastAsia="Times New Roman"/>
        </w:rPr>
        <w:t>,</w:t>
      </w:r>
      <w:r w:rsidRPr="00145167">
        <w:rPr>
          <w:rFonts w:eastAsia="Times New Roman"/>
        </w:rPr>
        <w:t xml:space="preserve"> and imines (</w:t>
      </w:r>
      <w:r w:rsidR="008A4D1D" w:rsidRPr="00145167">
        <w:rPr>
          <w:rFonts w:eastAsia="Times New Roman"/>
        </w:rPr>
        <w:t xml:space="preserve">Sengupta </w:t>
      </w:r>
      <w:r w:rsidR="00D2595E">
        <w:rPr>
          <w:rFonts w:eastAsia="Times New Roman"/>
        </w:rPr>
        <w:t>et al.,</w:t>
      </w:r>
      <w:r w:rsidRPr="00145167">
        <w:rPr>
          <w:rFonts w:eastAsia="Times New Roman"/>
        </w:rPr>
        <w:t xml:space="preserve"> 2015). </w:t>
      </w:r>
    </w:p>
    <w:p w:rsidR="00540062" w:rsidRDefault="009A06D0" w:rsidP="00145167">
      <w:pPr>
        <w:spacing w:line="480" w:lineRule="auto"/>
      </w:pPr>
      <w:r w:rsidRPr="00145167">
        <w:t>Conversely, the significantly up-regulated genes (q-values ≤ 0.05) in callus were related to the enzymes involved in the primary metabolism, such as fructose biphosphate adolase, aminotransferases, dehydrogenases, hydroxyl methyl glutarate</w:t>
      </w:r>
      <w:r w:rsidR="00F044B7">
        <w:t>,</w:t>
      </w:r>
      <w:r w:rsidRPr="00145167">
        <w:t xml:space="preserve"> and glutamate synthase. However, other secondary metabolism related enzymes were detected in callus with q-values &gt; 0.05 including cinnamoyl/ coumarate/ enoyl CoA reductases, </w:t>
      </w:r>
      <w:r w:rsidRPr="00145167">
        <w:rPr>
          <w:i/>
        </w:rPr>
        <w:t>N</w:t>
      </w:r>
      <w:r w:rsidRPr="00145167">
        <w:t xml:space="preserve">-methyltransferases, </w:t>
      </w:r>
      <w:r w:rsidRPr="00145167">
        <w:rPr>
          <w:i/>
        </w:rPr>
        <w:t>NADPH</w:t>
      </w:r>
      <w:r w:rsidRPr="00145167">
        <w:t xml:space="preserve">-cytochrome P450s, </w:t>
      </w:r>
      <w:r w:rsidRPr="00145167">
        <w:rPr>
          <w:i/>
        </w:rPr>
        <w:t>S</w:t>
      </w:r>
      <w:r w:rsidRPr="00145167">
        <w:t>-adenosylmethionine synthetases</w:t>
      </w:r>
      <w:r w:rsidR="00F044B7">
        <w:t>,</w:t>
      </w:r>
      <w:r w:rsidRPr="00145167">
        <w:t xml:space="preserve"> and alcohol dehydrogenases. </w:t>
      </w:r>
      <w:r w:rsidRPr="00145167">
        <w:rPr>
          <w:rFonts w:eastAsia="Times New Roman"/>
        </w:rPr>
        <w:t xml:space="preserve">The methyltransferases detected in callus were either probable </w:t>
      </w:r>
      <w:r w:rsidRPr="00145167">
        <w:rPr>
          <w:rFonts w:eastAsia="Times New Roman"/>
          <w:i/>
        </w:rPr>
        <w:t>N</w:t>
      </w:r>
      <w:r w:rsidRPr="00145167">
        <w:rPr>
          <w:rFonts w:eastAsia="Times New Roman"/>
        </w:rPr>
        <w:t xml:space="preserve">-methyltransferases or </w:t>
      </w:r>
      <w:r w:rsidRPr="00145167">
        <w:rPr>
          <w:rFonts w:eastAsia="Times New Roman"/>
          <w:i/>
        </w:rPr>
        <w:t>(SAM)</w:t>
      </w:r>
      <w:r w:rsidRPr="00145167">
        <w:rPr>
          <w:rFonts w:eastAsia="Times New Roman"/>
        </w:rPr>
        <w:t xml:space="preserve"> dependent </w:t>
      </w:r>
      <w:r w:rsidRPr="00145167">
        <w:rPr>
          <w:rFonts w:eastAsia="Times New Roman"/>
          <w:i/>
        </w:rPr>
        <w:t>N</w:t>
      </w:r>
      <w:r w:rsidRPr="00145167">
        <w:rPr>
          <w:rFonts w:eastAsia="Times New Roman"/>
        </w:rPr>
        <w:t xml:space="preserve">-methyltransferases which have been reported in cell cultures of </w:t>
      </w:r>
      <w:r w:rsidRPr="00145167">
        <w:rPr>
          <w:rFonts w:eastAsia="Times New Roman"/>
          <w:i/>
        </w:rPr>
        <w:t>P. bracteatum</w:t>
      </w:r>
      <w:r w:rsidRPr="00145167">
        <w:rPr>
          <w:rFonts w:eastAsia="Times New Roman"/>
        </w:rPr>
        <w:t xml:space="preserve"> and other benzylisoquinoline alkaloid producing species (</w:t>
      </w:r>
      <w:r w:rsidR="008A4D1D" w:rsidRPr="00145167">
        <w:rPr>
          <w:rFonts w:eastAsia="Times New Roman"/>
        </w:rPr>
        <w:t xml:space="preserve">Liscombe </w:t>
      </w:r>
      <w:r w:rsidR="00D2595E">
        <w:rPr>
          <w:rFonts w:eastAsia="Times New Roman"/>
        </w:rPr>
        <w:t>et al.,</w:t>
      </w:r>
      <w:r w:rsidRPr="00145167">
        <w:rPr>
          <w:rFonts w:eastAsia="Times New Roman"/>
        </w:rPr>
        <w:t xml:space="preserve"> 2009). The </w:t>
      </w:r>
      <w:r w:rsidRPr="00145167">
        <w:rPr>
          <w:rFonts w:eastAsia="Times New Roman"/>
          <w:i/>
        </w:rPr>
        <w:t>in vitro</w:t>
      </w:r>
      <w:r w:rsidRPr="00145167">
        <w:rPr>
          <w:rFonts w:eastAsia="Times New Roman"/>
        </w:rPr>
        <w:t xml:space="preserve"> cultures of </w:t>
      </w:r>
      <w:r w:rsidRPr="00145167">
        <w:rPr>
          <w:rFonts w:eastAsia="Times New Roman"/>
          <w:i/>
        </w:rPr>
        <w:t>C. roseus</w:t>
      </w:r>
      <w:r w:rsidRPr="00145167">
        <w:rPr>
          <w:rFonts w:eastAsia="Times New Roman"/>
        </w:rPr>
        <w:t xml:space="preserve">, </w:t>
      </w:r>
      <w:r w:rsidRPr="00145167">
        <w:rPr>
          <w:rFonts w:eastAsia="Times New Roman"/>
          <w:i/>
        </w:rPr>
        <w:t>Camptotheca acuminata</w:t>
      </w:r>
      <w:r w:rsidRPr="00145167">
        <w:rPr>
          <w:rFonts w:eastAsia="Times New Roman"/>
        </w:rPr>
        <w:t xml:space="preserve"> and </w:t>
      </w:r>
      <w:r w:rsidRPr="00145167">
        <w:rPr>
          <w:rFonts w:eastAsia="Times New Roman"/>
          <w:i/>
        </w:rPr>
        <w:t>R. serpentina</w:t>
      </w:r>
      <w:r w:rsidRPr="00145167">
        <w:rPr>
          <w:rFonts w:eastAsia="Times New Roman"/>
        </w:rPr>
        <w:t xml:space="preserve"> also showed the identification of </w:t>
      </w:r>
      <w:r w:rsidRPr="00145167">
        <w:rPr>
          <w:rFonts w:eastAsia="Times New Roman"/>
        </w:rPr>
        <w:lastRenderedPageBreak/>
        <w:t xml:space="preserve">transcripts related to alkaloid biosynthesis, i.e. </w:t>
      </w:r>
      <w:r w:rsidRPr="00145167">
        <w:rPr>
          <w:rFonts w:eastAsia="Times New Roman"/>
          <w:i/>
        </w:rPr>
        <w:t>N</w:t>
      </w:r>
      <w:r w:rsidRPr="00145167">
        <w:rPr>
          <w:rFonts w:eastAsia="Times New Roman"/>
        </w:rPr>
        <w:t xml:space="preserve">-methyltransferases, </w:t>
      </w:r>
      <w:r w:rsidRPr="00145167">
        <w:rPr>
          <w:rFonts w:eastAsia="Times New Roman"/>
          <w:i/>
        </w:rPr>
        <w:t>O</w:t>
      </w:r>
      <w:r w:rsidRPr="00145167">
        <w:rPr>
          <w:rFonts w:eastAsia="Times New Roman"/>
        </w:rPr>
        <w:t>-methyltransferases</w:t>
      </w:r>
      <w:r w:rsidR="00F044B7">
        <w:rPr>
          <w:rFonts w:eastAsia="Times New Roman"/>
        </w:rPr>
        <w:t>,</w:t>
      </w:r>
      <w:r w:rsidRPr="00145167">
        <w:rPr>
          <w:rFonts w:eastAsia="Times New Roman"/>
        </w:rPr>
        <w:t xml:space="preserve"> and </w:t>
      </w:r>
      <w:r w:rsidRPr="00145167">
        <w:rPr>
          <w:rFonts w:eastAsia="Times New Roman"/>
          <w:i/>
        </w:rPr>
        <w:t>NADPH-</w:t>
      </w:r>
      <w:r w:rsidRPr="00145167">
        <w:rPr>
          <w:rFonts w:eastAsia="Times New Roman"/>
        </w:rPr>
        <w:t>cytochrome P450 reductases (</w:t>
      </w:r>
      <w:r w:rsidRPr="00145167">
        <w:rPr>
          <w:noProof/>
        </w:rPr>
        <w:t>Góngora</w:t>
      </w:r>
      <w:r w:rsidR="008A4D1D" w:rsidRPr="00145167">
        <w:rPr>
          <w:rFonts w:eastAsia="Times New Roman"/>
        </w:rPr>
        <w:t xml:space="preserve">-Castillo </w:t>
      </w:r>
      <w:r w:rsidR="00D2595E">
        <w:rPr>
          <w:rFonts w:eastAsia="Times New Roman"/>
        </w:rPr>
        <w:t>et al.,</w:t>
      </w:r>
      <w:r w:rsidRPr="00145167">
        <w:rPr>
          <w:rFonts w:eastAsia="Times New Roman"/>
        </w:rPr>
        <w:t xml:space="preserve"> 2012). The alkaloids related to putative transcripts </w:t>
      </w:r>
      <w:r w:rsidRPr="00145167">
        <w:rPr>
          <w:rFonts w:eastAsia="Times New Roman"/>
          <w:i/>
        </w:rPr>
        <w:t>OMT</w:t>
      </w:r>
      <w:r w:rsidRPr="00145167">
        <w:rPr>
          <w:rFonts w:eastAsia="Times New Roman"/>
        </w:rPr>
        <w:t xml:space="preserve">, </w:t>
      </w:r>
      <w:r w:rsidRPr="00145167">
        <w:rPr>
          <w:rFonts w:eastAsia="Times New Roman"/>
          <w:i/>
        </w:rPr>
        <w:t>NMT</w:t>
      </w:r>
      <w:r w:rsidRPr="00145167">
        <w:rPr>
          <w:rFonts w:eastAsia="Times New Roman"/>
        </w:rPr>
        <w:t xml:space="preserve">, </w:t>
      </w:r>
      <w:r w:rsidRPr="00145167">
        <w:rPr>
          <w:rFonts w:eastAsia="Times New Roman"/>
          <w:i/>
        </w:rPr>
        <w:t>SAM</w:t>
      </w:r>
      <w:r w:rsidRPr="00145167">
        <w:rPr>
          <w:rFonts w:eastAsia="Times New Roman"/>
        </w:rPr>
        <w:t xml:space="preserve"> were found to be expressed in higher level than the P450-dependant enzymes in opium poppy cell cultures (</w:t>
      </w:r>
      <w:r w:rsidR="008A4D1D" w:rsidRPr="00145167">
        <w:t xml:space="preserve">Desgagné-Penix </w:t>
      </w:r>
      <w:r w:rsidR="00D2595E">
        <w:t>et al.,</w:t>
      </w:r>
      <w:r w:rsidRPr="00145167">
        <w:t xml:space="preserve"> 2010).</w:t>
      </w:r>
      <w:r w:rsidR="00CA14AF">
        <w:t xml:space="preserve"> </w:t>
      </w:r>
    </w:p>
    <w:p w:rsidR="009A06D0" w:rsidRPr="00145167" w:rsidRDefault="009A06D0" w:rsidP="00145167">
      <w:pPr>
        <w:spacing w:line="480" w:lineRule="auto"/>
      </w:pPr>
      <w:r w:rsidRPr="00145167">
        <w:rPr>
          <w:rFonts w:eastAsia="Times New Roman"/>
        </w:rPr>
        <w:t xml:space="preserve">Besides the secondary metabolism related genes, most of the transcription factors and </w:t>
      </w:r>
      <w:r w:rsidRPr="00145167">
        <w:rPr>
          <w:rFonts w:eastAsia="Times New Roman"/>
          <w:i/>
        </w:rPr>
        <w:t>ERF/ AP2</w:t>
      </w:r>
      <w:r w:rsidRPr="00145167">
        <w:rPr>
          <w:rFonts w:eastAsia="Times New Roman"/>
        </w:rPr>
        <w:t xml:space="preserve"> domain containing proteins were detected in basal plate while </w:t>
      </w:r>
      <w:r w:rsidRPr="00145167">
        <w:t xml:space="preserve">the stress related and heat-shock proteins were mainly discovered in callus. Transcription factors of </w:t>
      </w:r>
      <w:r w:rsidRPr="00145167">
        <w:rPr>
          <w:i/>
        </w:rPr>
        <w:t xml:space="preserve">ERF/ AP2 </w:t>
      </w:r>
      <w:r w:rsidRPr="00145167">
        <w:t>family have been found to trigger shoot regeneration and cell differentiation (</w:t>
      </w:r>
      <w:r w:rsidR="008A4D1D" w:rsidRPr="00145167">
        <w:t>Neelakandan and Wang</w:t>
      </w:r>
      <w:r w:rsidR="00C509FC">
        <w:t>,</w:t>
      </w:r>
      <w:r w:rsidRPr="00145167">
        <w:t xml:space="preserve"> 2012). Another crucial enzyme for plant growth and shoot regeneration is glutathione-</w:t>
      </w:r>
      <w:r w:rsidRPr="00145167">
        <w:rPr>
          <w:i/>
        </w:rPr>
        <w:t>S</w:t>
      </w:r>
      <w:r w:rsidRPr="00145167">
        <w:t>-transferases (</w:t>
      </w:r>
      <w:r w:rsidR="008A4D1D" w:rsidRPr="00145167">
        <w:t xml:space="preserve">Gong </w:t>
      </w:r>
      <w:r w:rsidR="00D2595E">
        <w:t>et al.,</w:t>
      </w:r>
      <w:r w:rsidRPr="00145167">
        <w:t xml:space="preserve"> 2005), which was identified, in both basal plate and callus. A homeobox protein was recognized in the </w:t>
      </w:r>
      <w:r w:rsidRPr="00145167">
        <w:rPr>
          <w:i/>
        </w:rPr>
        <w:t>Narcissus</w:t>
      </w:r>
      <w:r w:rsidRPr="00145167">
        <w:t xml:space="preserve"> basal plate and callus and members of this family reported in </w:t>
      </w:r>
      <w:r w:rsidRPr="00145167">
        <w:rPr>
          <w:i/>
        </w:rPr>
        <w:t>Arabidopsis</w:t>
      </w:r>
      <w:r w:rsidRPr="00145167">
        <w:t xml:space="preserve"> and </w:t>
      </w:r>
      <w:r w:rsidRPr="00145167">
        <w:rPr>
          <w:i/>
        </w:rPr>
        <w:t>Brassica</w:t>
      </w:r>
      <w:r w:rsidRPr="00145167">
        <w:t xml:space="preserve"> to promote callus induction and somatic embryogenesis (</w:t>
      </w:r>
      <w:r w:rsidR="008A4D1D" w:rsidRPr="00145167">
        <w:t>Neelakandan and Wang</w:t>
      </w:r>
      <w:r w:rsidR="00C509FC">
        <w:t>,</w:t>
      </w:r>
      <w:r w:rsidRPr="00145167">
        <w:t xml:space="preserve"> 2012). The heat-shock proteins mostly identified in </w:t>
      </w:r>
      <w:r w:rsidRPr="00145167">
        <w:rPr>
          <w:i/>
        </w:rPr>
        <w:t>Narcissus</w:t>
      </w:r>
      <w:r w:rsidRPr="00145167">
        <w:t xml:space="preserve"> callus has been reported to be expressed during callus formation in </w:t>
      </w:r>
      <w:r w:rsidRPr="00145167">
        <w:rPr>
          <w:i/>
        </w:rPr>
        <w:t>Arabidopsis</w:t>
      </w:r>
      <w:r w:rsidRPr="00145167">
        <w:t xml:space="preserve"> (</w:t>
      </w:r>
      <w:r w:rsidR="008A4D1D" w:rsidRPr="00145167">
        <w:t xml:space="preserve">Ogawa </w:t>
      </w:r>
      <w:r w:rsidR="00D2595E">
        <w:t>et al.,</w:t>
      </w:r>
      <w:r w:rsidRPr="00145167">
        <w:t xml:space="preserve"> 2007). </w:t>
      </w:r>
      <w:r w:rsidRPr="00145167">
        <w:rPr>
          <w:rFonts w:eastAsia="Times New Roman"/>
        </w:rPr>
        <w:t xml:space="preserve">The enzymes cinnamoyl-CoA, cinnamate 4-hydroxylase, caffeic acid </w:t>
      </w:r>
      <w:r w:rsidRPr="00145167">
        <w:rPr>
          <w:rFonts w:eastAsia="Times New Roman"/>
          <w:i/>
        </w:rPr>
        <w:t>O</w:t>
      </w:r>
      <w:r w:rsidRPr="00145167">
        <w:rPr>
          <w:rFonts w:eastAsia="Times New Roman"/>
        </w:rPr>
        <w:t>-methyltransferase</w:t>
      </w:r>
      <w:r w:rsidR="00F044B7">
        <w:rPr>
          <w:rFonts w:eastAsia="Times New Roman"/>
        </w:rPr>
        <w:t>,</w:t>
      </w:r>
      <w:r w:rsidRPr="00145167">
        <w:rPr>
          <w:rFonts w:eastAsia="Times New Roman"/>
        </w:rPr>
        <w:t xml:space="preserve"> and coumarate ligase/reductases detected in </w:t>
      </w:r>
      <w:r w:rsidRPr="00145167">
        <w:rPr>
          <w:rFonts w:eastAsia="Times New Roman"/>
          <w:i/>
        </w:rPr>
        <w:t>Narcissus</w:t>
      </w:r>
      <w:r w:rsidRPr="00145167">
        <w:rPr>
          <w:rFonts w:eastAsia="Times New Roman"/>
        </w:rPr>
        <w:t xml:space="preserve"> basal plate and callus, play an important role in phenylpropanoid pathway through hydroxylation leading to diverse plant alkaloids</w:t>
      </w:r>
      <w:r w:rsidRPr="00145167">
        <w:fldChar w:fldCharType="begin"/>
      </w:r>
      <w:r w:rsidRPr="00145167">
        <w:fldChar w:fldCharType="separate"/>
      </w:r>
      <w:r w:rsidRPr="00145167">
        <w:rPr>
          <w:rFonts w:eastAsia="Times New Roman"/>
        </w:rPr>
        <w:t>(Singh and Desgagné-Penix, 2014)</w:t>
      </w:r>
      <w:r w:rsidRPr="00145167">
        <w:rPr>
          <w:rFonts w:eastAsia="Times New Roman"/>
        </w:rPr>
        <w:fldChar w:fldCharType="end"/>
      </w:r>
      <w:r w:rsidRPr="00145167">
        <w:rPr>
          <w:rFonts w:eastAsia="Times New Roman"/>
        </w:rPr>
        <w:t xml:space="preserve"> (</w:t>
      </w:r>
      <w:hyperlink w:anchor="_ENREF_1" w:tooltip="Singh, 2014 #241" w:history="1">
        <w:r w:rsidR="008A4D1D" w:rsidRPr="00145167">
          <w:rPr>
            <w:noProof/>
          </w:rPr>
          <w:t>Singh and Desgagné-Penix</w:t>
        </w:r>
        <w:r w:rsidR="00C509FC">
          <w:rPr>
            <w:noProof/>
          </w:rPr>
          <w:t>,</w:t>
        </w:r>
        <w:r w:rsidRPr="00145167">
          <w:rPr>
            <w:noProof/>
          </w:rPr>
          <w:t xml:space="preserve"> 2014</w:t>
        </w:r>
      </w:hyperlink>
      <w:r w:rsidRPr="00145167">
        <w:t>).</w:t>
      </w:r>
    </w:p>
    <w:p w:rsidR="009A06D0" w:rsidRPr="00145167" w:rsidRDefault="009A06D0" w:rsidP="00145167">
      <w:pPr>
        <w:spacing w:line="480" w:lineRule="auto"/>
        <w:rPr>
          <w:rStyle w:val="apple-converted-space"/>
        </w:rPr>
      </w:pPr>
      <w:r w:rsidRPr="00145167">
        <w:t>The gene functions assigned by the Gene Ontology database are mainly based on model organisms (</w:t>
      </w:r>
      <w:r w:rsidR="008A4D1D" w:rsidRPr="00145167">
        <w:t>Wolf</w:t>
      </w:r>
      <w:r w:rsidR="00C509FC">
        <w:t>,</w:t>
      </w:r>
      <w:r w:rsidRPr="00145167">
        <w:t xml:space="preserve"> 2013) hence; there are no GO annotations available for species closely related to </w:t>
      </w:r>
      <w:r w:rsidRPr="00145167">
        <w:rPr>
          <w:i/>
        </w:rPr>
        <w:t>Narcissus</w:t>
      </w:r>
      <w:r w:rsidRPr="00145167">
        <w:t xml:space="preserve">. However, the UniProt GO annotation tool was applied successfully in previous </w:t>
      </w:r>
      <w:r w:rsidRPr="00145167">
        <w:rPr>
          <w:i/>
        </w:rPr>
        <w:t>Narcissus</w:t>
      </w:r>
      <w:r w:rsidRPr="00145167">
        <w:t xml:space="preserve"> project (</w:t>
      </w:r>
      <w:r w:rsidR="008A4D1D" w:rsidRPr="00145167">
        <w:t>Pulman</w:t>
      </w:r>
      <w:r w:rsidR="00C509FC">
        <w:t>,</w:t>
      </w:r>
      <w:r w:rsidRPr="00145167">
        <w:t xml:space="preserve"> 2015) and was reported in other non-model plants (</w:t>
      </w:r>
      <w:proofErr w:type="spellStart"/>
      <w:r w:rsidR="008A4D1D" w:rsidRPr="00145167">
        <w:t>Guo</w:t>
      </w:r>
      <w:proofErr w:type="spellEnd"/>
      <w:r w:rsidR="008A4D1D" w:rsidRPr="00145167">
        <w:t xml:space="preserve"> </w:t>
      </w:r>
      <w:r w:rsidR="00D2595E">
        <w:t>et al.,</w:t>
      </w:r>
      <w:r w:rsidRPr="00145167">
        <w:t xml:space="preserve"> 2013; </w:t>
      </w:r>
      <w:r w:rsidR="008A4D1D" w:rsidRPr="00145167">
        <w:t xml:space="preserve">Lee </w:t>
      </w:r>
      <w:r w:rsidR="00D2595E">
        <w:t>et al.,</w:t>
      </w:r>
      <w:r w:rsidRPr="00145167">
        <w:t xml:space="preserve"> 2014). Unlike ours, in Lycoris, an Amaryllidaceae species the GO annotation showed three major GO categories i.e. molecular function, biological process</w:t>
      </w:r>
      <w:r w:rsidR="00F044B7">
        <w:t>,</w:t>
      </w:r>
      <w:r w:rsidRPr="00145167">
        <w:t xml:space="preserve"> and cellular component being the most associated transcripts to binding and catalytic activity, metabolic</w:t>
      </w:r>
      <w:r w:rsidR="00F044B7">
        <w:t>, and cellular process and cell, and ce</w:t>
      </w:r>
      <w:r w:rsidRPr="00145167">
        <w:t>ll parts respectively (</w:t>
      </w:r>
      <w:r w:rsidR="008A4D1D" w:rsidRPr="00145167">
        <w:t xml:space="preserve">Wang </w:t>
      </w:r>
      <w:r w:rsidR="00D2595E">
        <w:t>et al.,</w:t>
      </w:r>
      <w:r w:rsidRPr="00145167">
        <w:t xml:space="preserve"> 2013; </w:t>
      </w:r>
      <w:r w:rsidR="008A4D1D" w:rsidRPr="00145167">
        <w:t xml:space="preserve">Park </w:t>
      </w:r>
      <w:r w:rsidR="00D2595E">
        <w:t>et al.,</w:t>
      </w:r>
      <w:r w:rsidRPr="00145167">
        <w:t xml:space="preserve"> 2019). The Quick GO-</w:t>
      </w:r>
      <w:r w:rsidRPr="00145167">
        <w:lastRenderedPageBreak/>
        <w:t xml:space="preserve">Beta annotation provides </w:t>
      </w:r>
      <w:r w:rsidRPr="00145167">
        <w:rPr>
          <w:shd w:val="clear" w:color="auto" w:fill="FFFFFF"/>
        </w:rPr>
        <w:t>Gene Ontology (GO) annotations to proteins in the UniProtKb, which includes a large number of high-quality functional annotations across a broad taxonomic range</w:t>
      </w:r>
      <w:r w:rsidRPr="00145167">
        <w:rPr>
          <w:rStyle w:val="apple-converted-space"/>
          <w:shd w:val="clear" w:color="auto" w:fill="FFFFFF"/>
        </w:rPr>
        <w:t> (</w:t>
      </w:r>
      <w:r w:rsidR="008A4D1D" w:rsidRPr="00145167">
        <w:rPr>
          <w:rStyle w:val="apple-converted-space"/>
          <w:shd w:val="clear" w:color="auto" w:fill="FFFFFF"/>
        </w:rPr>
        <w:t xml:space="preserve">Huntley </w:t>
      </w:r>
      <w:r w:rsidR="00D2595E">
        <w:rPr>
          <w:rStyle w:val="apple-converted-space"/>
          <w:shd w:val="clear" w:color="auto" w:fill="FFFFFF"/>
        </w:rPr>
        <w:t>et al.,</w:t>
      </w:r>
      <w:r w:rsidRPr="00145167">
        <w:rPr>
          <w:rStyle w:val="apple-converted-space"/>
          <w:shd w:val="clear" w:color="auto" w:fill="FFFFFF"/>
        </w:rPr>
        <w:t xml:space="preserve"> 2015). Therefore, detection of GO terms related to secondary metabolism such as </w:t>
      </w:r>
      <w:r w:rsidRPr="00145167">
        <w:rPr>
          <w:rStyle w:val="apple-converted-space"/>
          <w:i/>
          <w:shd w:val="clear" w:color="auto" w:fill="FFFFFF"/>
        </w:rPr>
        <w:t>O</w:t>
      </w:r>
      <w:r w:rsidRPr="00145167">
        <w:rPr>
          <w:rStyle w:val="apple-converted-space"/>
          <w:shd w:val="clear" w:color="auto" w:fill="FFFFFF"/>
        </w:rPr>
        <w:t xml:space="preserve">-methyltransferase activity, oxidoreductase activity, </w:t>
      </w:r>
      <w:r w:rsidRPr="00145167">
        <w:rPr>
          <w:rStyle w:val="apple-converted-space"/>
          <w:i/>
          <w:shd w:val="clear" w:color="auto" w:fill="FFFFFF"/>
        </w:rPr>
        <w:t>S</w:t>
      </w:r>
      <w:r w:rsidRPr="00145167">
        <w:rPr>
          <w:rStyle w:val="apple-converted-space"/>
          <w:shd w:val="clear" w:color="auto" w:fill="FFFFFF"/>
        </w:rPr>
        <w:t xml:space="preserve">-adenosylmethionine dependent methyltransferase activity, NADH dehydrogenase activity were possible which were detected </w:t>
      </w:r>
      <w:r w:rsidRPr="00145167">
        <w:t>in basal plate but not in callus.</w:t>
      </w:r>
    </w:p>
    <w:p w:rsidR="002F5487" w:rsidRDefault="009A06D0" w:rsidP="00145167">
      <w:pPr>
        <w:spacing w:line="480" w:lineRule="auto"/>
      </w:pPr>
      <w:r w:rsidRPr="00145167">
        <w:t>The gene function information obtained from Gene Ontology alone is not sufficient to provide knowledge about biosynthetic pathways. Therefore, it is important to map the genes of interest to candidate metabolic pathways (</w:t>
      </w:r>
      <w:r w:rsidR="008A4D1D" w:rsidRPr="00145167">
        <w:t>Wolf</w:t>
      </w:r>
      <w:r w:rsidR="00C509FC">
        <w:t>,</w:t>
      </w:r>
      <w:r w:rsidRPr="00145167">
        <w:t xml:space="preserve"> 2013). KEGG is one of the largest pathway databases </w:t>
      </w:r>
      <w:r w:rsidRPr="00145167">
        <w:rPr>
          <w:bCs/>
        </w:rPr>
        <w:t>(</w:t>
      </w:r>
      <w:r w:rsidR="008A4D1D" w:rsidRPr="00145167">
        <w:rPr>
          <w:bCs/>
        </w:rPr>
        <w:t xml:space="preserve">Ogata </w:t>
      </w:r>
      <w:r w:rsidR="00D2595E">
        <w:rPr>
          <w:bCs/>
        </w:rPr>
        <w:t>et al.,</w:t>
      </w:r>
      <w:r w:rsidRPr="00145167">
        <w:rPr>
          <w:bCs/>
        </w:rPr>
        <w:t xml:space="preserve"> 1999)</w:t>
      </w:r>
      <w:r w:rsidRPr="00145167">
        <w:t xml:space="preserve"> and also extensively used in non-model plant studies (</w:t>
      </w:r>
      <w:r w:rsidR="008A4D1D" w:rsidRPr="00145167">
        <w:t xml:space="preserve">Xiao </w:t>
      </w:r>
      <w:r w:rsidR="00D2595E">
        <w:t>et al.,</w:t>
      </w:r>
      <w:r w:rsidRPr="00145167">
        <w:t xml:space="preserve"> 2013). In both basal plate and callus the central metabolic pathways and biosynthesis of secondary metabolites were the most enriched pathways with the highest number of assigned enzymes. Some human disease (e.g. Parkinson's and Huntington's disease) related pathways were also detected in both tissues which is an example where an inappropriate pathway annotation is made since KEGG is a large database that is particularly rich in information on pathways from human and animals, as well as data on plants and microbes. Therefore, it was worthwhile to compare this result with a plant-specific database; the Plant Reactome which is a plant pathway database based on curated </w:t>
      </w:r>
      <w:r w:rsidRPr="00145167">
        <w:rPr>
          <w:i/>
        </w:rPr>
        <w:t>Oryza sativa</w:t>
      </w:r>
      <w:r w:rsidRPr="00145167">
        <w:t xml:space="preserve"> reference pathways </w:t>
      </w:r>
      <w:r w:rsidRPr="00145167">
        <w:rPr>
          <w:shd w:val="clear" w:color="auto" w:fill="FFFFFF"/>
        </w:rPr>
        <w:t xml:space="preserve">(Tello-Ruiz </w:t>
      </w:r>
      <w:r w:rsidR="00D2595E">
        <w:rPr>
          <w:shd w:val="clear" w:color="auto" w:fill="FFFFFF"/>
        </w:rPr>
        <w:t>et al.,</w:t>
      </w:r>
      <w:r w:rsidRPr="00145167">
        <w:rPr>
          <w:shd w:val="clear" w:color="auto" w:fill="FFFFFF"/>
        </w:rPr>
        <w:t xml:space="preserve"> 2015). </w:t>
      </w:r>
      <w:r w:rsidRPr="00145167">
        <w:t>The most notable pathways were phenylpropanoid biosynthesis, amino acid metabolism, flavonoid biosynthesis</w:t>
      </w:r>
      <w:r w:rsidR="00F044B7">
        <w:t>,</w:t>
      </w:r>
      <w:r w:rsidRPr="00145167">
        <w:t xml:space="preserve"> and </w:t>
      </w:r>
      <w:r w:rsidRPr="00145167">
        <w:rPr>
          <w:i/>
        </w:rPr>
        <w:t>S</w:t>
      </w:r>
      <w:r w:rsidRPr="00145167">
        <w:t>-adenosyl-</w:t>
      </w:r>
      <w:r w:rsidRPr="00145167">
        <w:rPr>
          <w:i/>
        </w:rPr>
        <w:t>L</w:t>
      </w:r>
      <w:r w:rsidRPr="00145167">
        <w:t xml:space="preserve">-methionine cycle. Both KEGG and Plant Reactome pathway analyses showed the detection of secondary metabolism related pathways in both basal plate and callus. The postulated pathway (Figure 8) generated in this study based on KEGG and Plant Reactome results showed that the transcripts (i.e. cytochrome P450s and </w:t>
      </w:r>
      <w:r w:rsidRPr="00145167">
        <w:rPr>
          <w:i/>
        </w:rPr>
        <w:t>OMTs</w:t>
      </w:r>
      <w:r w:rsidRPr="00145167">
        <w:t>) involved in the Amaryllidaceae alkaloid biosynthesis (Wang</w:t>
      </w:r>
      <w:r w:rsidR="008A4D1D" w:rsidRPr="00145167">
        <w:t xml:space="preserve"> </w:t>
      </w:r>
      <w:r w:rsidR="00D2595E">
        <w:t>et al.,</w:t>
      </w:r>
      <w:r w:rsidRPr="00145167">
        <w:t xml:space="preserve"> 2013; Kilgore </w:t>
      </w:r>
      <w:r w:rsidR="00D2595E">
        <w:t>et al.,</w:t>
      </w:r>
      <w:r w:rsidR="008A4D1D" w:rsidRPr="00145167">
        <w:t xml:space="preserve"> 2014; Kilgore </w:t>
      </w:r>
      <w:r w:rsidR="00D2595E">
        <w:t>et al.,</w:t>
      </w:r>
      <w:r w:rsidRPr="00145167">
        <w:t xml:space="preserve"> 2016a) were mainly up-regulated in field samples. Whereas, the enzymes involved in initial pathways (fructose biphosphate adolase, aminotransferases, dehydrogenases, hydroxyl methyl glutarate</w:t>
      </w:r>
      <w:r w:rsidR="00F044B7">
        <w:t>,</w:t>
      </w:r>
      <w:r w:rsidRPr="00145167">
        <w:t xml:space="preserve"> and </w:t>
      </w:r>
      <w:r w:rsidRPr="00145167">
        <w:lastRenderedPageBreak/>
        <w:t>glutamate synthase) leading to the biosynthesis of precursors (tyrosine, phenylalanine</w:t>
      </w:r>
      <w:r w:rsidR="00F044B7">
        <w:t>,</w:t>
      </w:r>
      <w:r w:rsidRPr="00145167">
        <w:t xml:space="preserve"> and tryptophan) for secondary metabolites were up-regulated in callus which could be in accordance with the higher accumulation of Amaryllidaceae alkaloids in field tissues than </w:t>
      </w:r>
      <w:r w:rsidRPr="00145167">
        <w:rPr>
          <w:i/>
        </w:rPr>
        <w:t>in vitro</w:t>
      </w:r>
      <w:r w:rsidRPr="00145167">
        <w:t xml:space="preserve"> tissues in </w:t>
      </w:r>
      <w:r w:rsidRPr="00145167">
        <w:rPr>
          <w:i/>
        </w:rPr>
        <w:t xml:space="preserve">Narcissus </w:t>
      </w:r>
      <w:r w:rsidRPr="00145167">
        <w:t>(</w:t>
      </w:r>
      <w:r w:rsidR="008A4D1D" w:rsidRPr="00145167">
        <w:t xml:space="preserve">Berkov </w:t>
      </w:r>
      <w:r w:rsidR="00D2595E">
        <w:t>et al.,</w:t>
      </w:r>
      <w:r w:rsidRPr="00145167">
        <w:t xml:space="preserve"> 2009; </w:t>
      </w:r>
      <w:r w:rsidR="008A4D1D" w:rsidRPr="00145167">
        <w:t xml:space="preserve">Tahchy </w:t>
      </w:r>
      <w:r w:rsidR="00D2595E">
        <w:t>et al.,</w:t>
      </w:r>
      <w:r w:rsidRPr="00145167">
        <w:t xml:space="preserve"> 2011; </w:t>
      </w:r>
      <w:r w:rsidR="008A4D1D" w:rsidRPr="00145167">
        <w:t xml:space="preserve">Ferdausi </w:t>
      </w:r>
      <w:r w:rsidR="00D2595E">
        <w:t>et al.,</w:t>
      </w:r>
      <w:r w:rsidRPr="00145167">
        <w:t xml:space="preserve"> 2020). </w:t>
      </w:r>
    </w:p>
    <w:p w:rsidR="00540062" w:rsidRPr="002F5487" w:rsidRDefault="004B204A" w:rsidP="00145167">
      <w:pPr>
        <w:spacing w:line="480" w:lineRule="auto"/>
        <w:rPr>
          <w:color w:val="FF0000"/>
        </w:rPr>
      </w:pPr>
      <w:r w:rsidRPr="002F5487">
        <w:rPr>
          <w:color w:val="FF0000"/>
        </w:rPr>
        <w:t>Our previous study showed the relative expression of these putative genes in basal plate and callus. The relative expression</w:t>
      </w:r>
      <w:r w:rsidR="00CA14AF" w:rsidRPr="002F5487">
        <w:rPr>
          <w:color w:val="FF0000"/>
        </w:rPr>
        <w:t>s</w:t>
      </w:r>
      <w:r w:rsidRPr="002F5487">
        <w:rPr>
          <w:color w:val="FF0000"/>
        </w:rPr>
        <w:t xml:space="preserve"> of P4</w:t>
      </w:r>
      <w:r w:rsidR="00CA14AF" w:rsidRPr="002F5487">
        <w:rPr>
          <w:color w:val="FF0000"/>
        </w:rPr>
        <w:t>50s</w:t>
      </w:r>
      <w:r w:rsidRPr="002F5487">
        <w:rPr>
          <w:color w:val="FF0000"/>
        </w:rPr>
        <w:t xml:space="preserve"> and </w:t>
      </w:r>
      <w:r w:rsidR="00CA14AF" w:rsidRPr="002F5487">
        <w:rPr>
          <w:color w:val="FF0000"/>
        </w:rPr>
        <w:t>NpO4OMT</w:t>
      </w:r>
      <w:r w:rsidRPr="002F5487">
        <w:rPr>
          <w:color w:val="FF0000"/>
        </w:rPr>
        <w:t xml:space="preserve"> were high in basal plate while</w:t>
      </w:r>
      <w:r w:rsidR="00CA14AF" w:rsidRPr="002F5487">
        <w:rPr>
          <w:color w:val="FF0000"/>
        </w:rPr>
        <w:t xml:space="preserve"> PAL and TYDC showed relatively higher expression pattern in </w:t>
      </w:r>
      <w:r w:rsidR="002F5487">
        <w:rPr>
          <w:color w:val="FF0000"/>
        </w:rPr>
        <w:t>callus (Ferdausi et al., 2021b)</w:t>
      </w:r>
      <w:r w:rsidRPr="002F5487">
        <w:rPr>
          <w:color w:val="FF0000"/>
        </w:rPr>
        <w:t>.</w:t>
      </w:r>
      <w:r w:rsidR="002F5487">
        <w:rPr>
          <w:color w:val="FF0000"/>
        </w:rPr>
        <w:t xml:space="preserve"> This finding could be correlated with the detection of transcripts related to P450s and OMTs in basal plate involved in later stage of Amaryllidaceae alkaloids biosynthesis. And the high expression of PAL and TYDC in callus could be correlated with the phenylalanine and tyrosine metabolism</w:t>
      </w:r>
      <w:r w:rsidR="004E370E">
        <w:rPr>
          <w:color w:val="FF0000"/>
        </w:rPr>
        <w:t xml:space="preserve"> related transcripts</w:t>
      </w:r>
      <w:r w:rsidR="002F5487">
        <w:rPr>
          <w:color w:val="FF0000"/>
        </w:rPr>
        <w:t>, involved in the initial biosynthetic pathway (Figure 8</w:t>
      </w:r>
      <w:r w:rsidR="004E370E">
        <w:rPr>
          <w:color w:val="FF0000"/>
        </w:rPr>
        <w:t>)</w:t>
      </w:r>
      <w:r w:rsidR="002F5487">
        <w:rPr>
          <w:color w:val="FF0000"/>
        </w:rPr>
        <w:t>.</w:t>
      </w:r>
      <w:r w:rsidR="004E370E">
        <w:rPr>
          <w:color w:val="FF0000"/>
        </w:rPr>
        <w:t xml:space="preserve"> </w:t>
      </w:r>
      <w:r w:rsidR="009A06D0" w:rsidRPr="002F5487">
        <w:rPr>
          <w:color w:val="FF0000"/>
        </w:rPr>
        <w:t>Moreover, carbon metabolism and glycolysis related pathways were detected in callus which could be related to the more active heterotrophic metabolism of the callus tissues.</w:t>
      </w:r>
      <w:r w:rsidRPr="002F5487">
        <w:rPr>
          <w:color w:val="FF0000"/>
        </w:rPr>
        <w:t xml:space="preserve"> </w:t>
      </w:r>
      <w:r w:rsidR="00540062" w:rsidRPr="002F5487">
        <w:rPr>
          <w:color w:val="FF0000"/>
        </w:rPr>
        <w:t xml:space="preserve">Our </w:t>
      </w:r>
      <w:r w:rsidRPr="002F5487">
        <w:rPr>
          <w:color w:val="FF0000"/>
        </w:rPr>
        <w:t xml:space="preserve">previous NMR-based metabolomic study </w:t>
      </w:r>
      <w:r w:rsidR="00540062" w:rsidRPr="002F5487">
        <w:rPr>
          <w:color w:val="FF0000"/>
        </w:rPr>
        <w:t xml:space="preserve">reported the high accumulation of Amaryllidaceae alkaloid precursors such as tyrosine, tyramine, succinylacetone, p-cresol and 3-phenylpropionate in </w:t>
      </w:r>
      <w:r w:rsidR="00540062" w:rsidRPr="002F5487">
        <w:rPr>
          <w:i/>
          <w:color w:val="FF0000"/>
        </w:rPr>
        <w:t xml:space="preserve">Narcissus </w:t>
      </w:r>
      <w:r w:rsidR="00540062" w:rsidRPr="002F5487">
        <w:rPr>
          <w:color w:val="FF0000"/>
        </w:rPr>
        <w:t>basal plate. W</w:t>
      </w:r>
      <w:r w:rsidRPr="002F5487">
        <w:rPr>
          <w:color w:val="FF0000"/>
        </w:rPr>
        <w:t xml:space="preserve">hile the metabolites related to carbohydrate metabolism such as sucrose, glucose, galactose, lactose were detected in callus (Ferdausi et al., 2020). </w:t>
      </w:r>
      <w:r w:rsidR="0003514F">
        <w:rPr>
          <w:color w:val="FF0000"/>
        </w:rPr>
        <w:t>Therefore,</w:t>
      </w:r>
      <w:r w:rsidR="00540062" w:rsidRPr="002F5487">
        <w:rPr>
          <w:color w:val="FF0000"/>
        </w:rPr>
        <w:t xml:space="preserve"> the previous findings on metabolomics and relative expression of putative genes could be correlated with the findings of the present study.</w:t>
      </w:r>
    </w:p>
    <w:p w:rsidR="009A06D0" w:rsidRPr="00145167" w:rsidRDefault="009A06D0" w:rsidP="00145167">
      <w:pPr>
        <w:spacing w:line="480" w:lineRule="auto"/>
      </w:pPr>
      <w:r w:rsidRPr="00145167">
        <w:t xml:space="preserve">The link between expression of pathway genes and biosynthesis of their final product is complex. For example, the transcriptome analysis of opium poppy cell culture showed the complete absence of expression of </w:t>
      </w:r>
      <w:r w:rsidRPr="00145167">
        <w:rPr>
          <w:i/>
        </w:rPr>
        <w:t>TYDC</w:t>
      </w:r>
      <w:r w:rsidRPr="00145167">
        <w:t>,</w:t>
      </w:r>
      <w:r w:rsidRPr="00145167">
        <w:rPr>
          <w:shd w:val="clear" w:color="auto" w:fill="FFFFFF"/>
        </w:rPr>
        <w:t xml:space="preserve"> salutaridine synthase (</w:t>
      </w:r>
      <w:r w:rsidRPr="00145167">
        <w:rPr>
          <w:i/>
          <w:shd w:val="clear" w:color="auto" w:fill="FFFFFF"/>
        </w:rPr>
        <w:t>SalSyn</w:t>
      </w:r>
      <w:r w:rsidRPr="00145167">
        <w:rPr>
          <w:shd w:val="clear" w:color="auto" w:fill="FFFFFF"/>
        </w:rPr>
        <w:t>), salutaridine reductase (</w:t>
      </w:r>
      <w:r w:rsidRPr="00145167">
        <w:rPr>
          <w:i/>
          <w:shd w:val="clear" w:color="auto" w:fill="FFFFFF"/>
        </w:rPr>
        <w:t>SalR</w:t>
      </w:r>
      <w:r w:rsidRPr="00145167">
        <w:rPr>
          <w:shd w:val="clear" w:color="auto" w:fill="FFFFFF"/>
        </w:rPr>
        <w:t xml:space="preserve">), codeine </w:t>
      </w:r>
      <w:r w:rsidRPr="00145167">
        <w:rPr>
          <w:i/>
          <w:shd w:val="clear" w:color="auto" w:fill="FFFFFF"/>
        </w:rPr>
        <w:t>O</w:t>
      </w:r>
      <w:r w:rsidRPr="00145167">
        <w:rPr>
          <w:shd w:val="clear" w:color="auto" w:fill="FFFFFF"/>
        </w:rPr>
        <w:t>-demethylase (</w:t>
      </w:r>
      <w:r w:rsidRPr="00145167">
        <w:rPr>
          <w:i/>
          <w:shd w:val="clear" w:color="auto" w:fill="FFFFFF"/>
        </w:rPr>
        <w:t>CODM</w:t>
      </w:r>
      <w:r w:rsidRPr="00145167">
        <w:rPr>
          <w:shd w:val="clear" w:color="auto" w:fill="FFFFFF"/>
        </w:rPr>
        <w:t xml:space="preserve">), </w:t>
      </w:r>
      <w:r w:rsidRPr="00145167">
        <w:t xml:space="preserve">with low levels of </w:t>
      </w:r>
      <w:r w:rsidRPr="00145167">
        <w:rPr>
          <w:shd w:val="clear" w:color="auto" w:fill="FFFFFF"/>
        </w:rPr>
        <w:t>(R,S)-reticuline 7-</w:t>
      </w:r>
      <w:r w:rsidRPr="00145167">
        <w:rPr>
          <w:i/>
          <w:shd w:val="clear" w:color="auto" w:fill="FFFFFF"/>
        </w:rPr>
        <w:t>O</w:t>
      </w:r>
      <w:r w:rsidRPr="00145167">
        <w:rPr>
          <w:shd w:val="clear" w:color="auto" w:fill="FFFFFF"/>
        </w:rPr>
        <w:t>-methyltransferase (</w:t>
      </w:r>
      <w:r w:rsidRPr="00145167">
        <w:rPr>
          <w:i/>
          <w:shd w:val="clear" w:color="auto" w:fill="FFFFFF"/>
        </w:rPr>
        <w:t>7OMT</w:t>
      </w:r>
      <w:r w:rsidRPr="00145167">
        <w:rPr>
          <w:shd w:val="clear" w:color="auto" w:fill="FFFFFF"/>
        </w:rPr>
        <w:t>) and (R,S)-norreticuline 7-</w:t>
      </w:r>
      <w:r w:rsidRPr="00145167">
        <w:rPr>
          <w:i/>
          <w:shd w:val="clear" w:color="auto" w:fill="FFFFFF"/>
        </w:rPr>
        <w:t>O</w:t>
      </w:r>
      <w:r w:rsidRPr="00145167">
        <w:rPr>
          <w:shd w:val="clear" w:color="auto" w:fill="FFFFFF"/>
        </w:rPr>
        <w:t>-methyltransferase (</w:t>
      </w:r>
      <w:r w:rsidRPr="00145167">
        <w:rPr>
          <w:i/>
          <w:shd w:val="clear" w:color="auto" w:fill="FFFFFF"/>
        </w:rPr>
        <w:t>N7OMT</w:t>
      </w:r>
      <w:r w:rsidRPr="00145167">
        <w:rPr>
          <w:shd w:val="clear" w:color="auto" w:fill="FFFFFF"/>
        </w:rPr>
        <w:t xml:space="preserve">), all of which </w:t>
      </w:r>
      <w:r w:rsidRPr="00145167">
        <w:t>are known benzylisoquinoline alkaloid biosynthetic enzymes in opium poppy. The absence or low expression of these transcripts was linked to the absence of morphine in opium poppy cell cultures (</w:t>
      </w:r>
      <w:r w:rsidR="008A4D1D" w:rsidRPr="00145167">
        <w:t xml:space="preserve">Desgagné-Penix </w:t>
      </w:r>
      <w:r w:rsidR="00D2595E">
        <w:t>et al.,</w:t>
      </w:r>
      <w:r w:rsidRPr="00145167">
        <w:t xml:space="preserve"> 2010). However, another study showed the relative expression of </w:t>
      </w:r>
      <w:r w:rsidRPr="00145167">
        <w:lastRenderedPageBreak/>
        <w:t xml:space="preserve">peroxidases involved in the biosynthesis of </w:t>
      </w:r>
      <w:proofErr w:type="spellStart"/>
      <w:r w:rsidRPr="00145167">
        <w:t>hispidol</w:t>
      </w:r>
      <w:proofErr w:type="spellEnd"/>
      <w:r w:rsidRPr="00145167">
        <w:t xml:space="preserve">, flavonoids in </w:t>
      </w:r>
      <w:proofErr w:type="spellStart"/>
      <w:r w:rsidRPr="00145167">
        <w:rPr>
          <w:i/>
        </w:rPr>
        <w:t>Medicago</w:t>
      </w:r>
      <w:proofErr w:type="spellEnd"/>
      <w:r w:rsidRPr="00145167">
        <w:rPr>
          <w:i/>
        </w:rPr>
        <w:t xml:space="preserve"> </w:t>
      </w:r>
      <w:proofErr w:type="spellStart"/>
      <w:r w:rsidRPr="00145167">
        <w:rPr>
          <w:i/>
        </w:rPr>
        <w:t>truncatula</w:t>
      </w:r>
      <w:proofErr w:type="spellEnd"/>
      <w:r w:rsidRPr="00145167">
        <w:t xml:space="preserve"> through phenylpropanoid pathway (</w:t>
      </w:r>
      <w:proofErr w:type="spellStart"/>
      <w:r w:rsidR="008A4D1D" w:rsidRPr="00145167">
        <w:t>Farag</w:t>
      </w:r>
      <w:proofErr w:type="spellEnd"/>
      <w:r w:rsidR="008A4D1D" w:rsidRPr="00145167">
        <w:t xml:space="preserve"> </w:t>
      </w:r>
      <w:r w:rsidR="00D2595E">
        <w:t>et al.,</w:t>
      </w:r>
      <w:r w:rsidRPr="00145167">
        <w:t xml:space="preserve"> 2009). This study showed that the peroxidase transcripts were almost equally expressed in both field derived tissues (leaf, stem, flower etc.) and </w:t>
      </w:r>
      <w:r w:rsidRPr="00145167">
        <w:rPr>
          <w:i/>
        </w:rPr>
        <w:t>in vitro</w:t>
      </w:r>
      <w:r w:rsidRPr="00145167">
        <w:t xml:space="preserve"> cultures elicited with either methyl jasmonate or yeast extract. In alkaloid biosynthesis in </w:t>
      </w:r>
      <w:r w:rsidRPr="00145167">
        <w:rPr>
          <w:i/>
        </w:rPr>
        <w:t>C. roseus</w:t>
      </w:r>
      <w:r w:rsidRPr="00145167">
        <w:t xml:space="preserve">, the expression of pathway transcripts (e.g. </w:t>
      </w:r>
      <w:r w:rsidRPr="00145167">
        <w:rPr>
          <w:i/>
        </w:rPr>
        <w:t>CYP72A57</w:t>
      </w:r>
      <w:r w:rsidRPr="00145167">
        <w:t xml:space="preserve">, </w:t>
      </w:r>
      <w:r w:rsidRPr="00145167">
        <w:rPr>
          <w:i/>
        </w:rPr>
        <w:t>OMTs</w:t>
      </w:r>
      <w:r w:rsidRPr="00145167">
        <w:t xml:space="preserve">, </w:t>
      </w:r>
      <w:r w:rsidRPr="00145167">
        <w:rPr>
          <w:i/>
        </w:rPr>
        <w:t>NMTs</w:t>
      </w:r>
      <w:r w:rsidRPr="00145167">
        <w:t xml:space="preserve">, </w:t>
      </w:r>
      <w:r w:rsidRPr="00145167">
        <w:rPr>
          <w:i/>
        </w:rPr>
        <w:t>NADPH</w:t>
      </w:r>
      <w:r w:rsidRPr="00145167">
        <w:t>-reductase, hydroxylase, peroxidase) involved in the biosynthesis of monoterpene indole alkaloids including vinblastine (</w:t>
      </w:r>
      <w:r w:rsidR="008A4D1D" w:rsidRPr="00145167">
        <w:t xml:space="preserve">Góngora-Castillo </w:t>
      </w:r>
      <w:r w:rsidR="00D2595E">
        <w:t>et al.,</w:t>
      </w:r>
      <w:r w:rsidRPr="00145167">
        <w:t xml:space="preserve"> 2012) showed equal expression of </w:t>
      </w:r>
      <w:r w:rsidRPr="00145167">
        <w:rPr>
          <w:i/>
        </w:rPr>
        <w:t>CYP72A57</w:t>
      </w:r>
      <w:r w:rsidRPr="00145167">
        <w:t xml:space="preserve"> and </w:t>
      </w:r>
      <w:r w:rsidRPr="00145167">
        <w:rPr>
          <w:i/>
        </w:rPr>
        <w:t>OMTs</w:t>
      </w:r>
      <w:r w:rsidRPr="00145167">
        <w:t xml:space="preserve"> in field tissues (leaf, stem, flower, and root) and callus cultures. The other transcripts were more highly expressed in field tissues than callus cultures.</w:t>
      </w:r>
    </w:p>
    <w:p w:rsidR="009A06D0" w:rsidRPr="00145167" w:rsidRDefault="009A06D0" w:rsidP="00145167">
      <w:pPr>
        <w:spacing w:line="480" w:lineRule="auto"/>
        <w:rPr>
          <w:b/>
        </w:rPr>
      </w:pPr>
      <w:r w:rsidRPr="00145167">
        <w:t>Furthermore, the transcripts leading to other alkaloids (isoquinoline, indole</w:t>
      </w:r>
      <w:r w:rsidR="00D9521E">
        <w:t>,</w:t>
      </w:r>
      <w:r w:rsidRPr="00145167">
        <w:t xml:space="preserve"> and quinoline) were basically detected in both tissues which could suggest callus as a suitable material for the biosynthesis of other alkaloids/secondary metabolites than Amaryllidaceae alkaloids. This could also suggest a link between Amaryllidaceae alkaloid pathways to the defense or stress response in </w:t>
      </w:r>
      <w:r w:rsidRPr="00145167">
        <w:rPr>
          <w:i/>
        </w:rPr>
        <w:t>Narcissus</w:t>
      </w:r>
      <w:r w:rsidRPr="00145167">
        <w:t xml:space="preserve"> as phenylpropanoid, hormone, flavonoid biosynthesis</w:t>
      </w:r>
      <w:r w:rsidR="00D9521E">
        <w:t>,</w:t>
      </w:r>
      <w:r w:rsidRPr="00145167">
        <w:t xml:space="preserve"> and mevalonate pathways are linked to the biosynthesis of a diversity of secondary metabolites related to plant defense or stress response (</w:t>
      </w:r>
      <w:r w:rsidR="008A4D1D" w:rsidRPr="00145167">
        <w:t>Dixon</w:t>
      </w:r>
      <w:r w:rsidR="00C509FC">
        <w:t>,</w:t>
      </w:r>
      <w:r w:rsidRPr="00145167">
        <w:t xml:space="preserve"> 2001). </w:t>
      </w:r>
    </w:p>
    <w:p w:rsidR="0068037F" w:rsidRDefault="009A06D0" w:rsidP="0068037F">
      <w:pPr>
        <w:spacing w:line="480" w:lineRule="auto"/>
      </w:pPr>
      <w:r w:rsidRPr="00145167">
        <w:t xml:space="preserve">The 206 (9.5% of total) transcripts were found to be significant differentially expressed (q-value ≤0.05) which might be a reason, that many important transcripts such as </w:t>
      </w:r>
      <w:r w:rsidRPr="00145167">
        <w:rPr>
          <w:i/>
        </w:rPr>
        <w:t>PAL</w:t>
      </w:r>
      <w:r w:rsidRPr="00145167">
        <w:t xml:space="preserve"> and </w:t>
      </w:r>
      <w:r w:rsidRPr="00145167">
        <w:rPr>
          <w:i/>
        </w:rPr>
        <w:t>TYDC</w:t>
      </w:r>
      <w:r w:rsidRPr="00145167">
        <w:t xml:space="preserve">, involved in phenylalanine and tyrosine metabolism were not detected in differential expression analysis. Whereas, the candidate genes predicted in this project, involved in Amaryllidaceae alkaloid biosynthesis, such as </w:t>
      </w:r>
      <w:r w:rsidRPr="00145167">
        <w:rPr>
          <w:i/>
        </w:rPr>
        <w:t>PAL</w:t>
      </w:r>
      <w:r w:rsidRPr="00145167">
        <w:t xml:space="preserve"> and </w:t>
      </w:r>
      <w:r w:rsidRPr="00145167">
        <w:rPr>
          <w:i/>
        </w:rPr>
        <w:t>TYDC</w:t>
      </w:r>
      <w:r w:rsidRPr="00145167">
        <w:t xml:space="preserve"> have been previously identified using experimental methods in </w:t>
      </w:r>
      <w:r w:rsidRPr="00145167">
        <w:rPr>
          <w:i/>
        </w:rPr>
        <w:t>N. pseudonarcissus</w:t>
      </w:r>
      <w:r w:rsidRPr="00145167">
        <w:t xml:space="preserve"> (</w:t>
      </w:r>
      <w:r w:rsidR="008A4D1D" w:rsidRPr="00145167">
        <w:t>Pulman</w:t>
      </w:r>
      <w:r w:rsidR="00C509FC">
        <w:t>,</w:t>
      </w:r>
      <w:r w:rsidRPr="00145167">
        <w:t xml:space="preserve"> 2015; </w:t>
      </w:r>
      <w:r w:rsidR="008A4D1D" w:rsidRPr="00145167">
        <w:t xml:space="preserve">Kilgore </w:t>
      </w:r>
      <w:r w:rsidR="00D2595E">
        <w:t>et al.,</w:t>
      </w:r>
      <w:r w:rsidR="008A4D1D" w:rsidRPr="00145167">
        <w:t xml:space="preserve"> 2014, Kilgore </w:t>
      </w:r>
      <w:r w:rsidR="00D2595E">
        <w:t>et al.,</w:t>
      </w:r>
      <w:r w:rsidRPr="00145167">
        <w:t xml:space="preserve"> 2016a</w:t>
      </w:r>
      <w:r w:rsidR="00681D05">
        <w:t>, Ferdausi et al., 2021a</w:t>
      </w:r>
      <w:r w:rsidRPr="00145167">
        <w:t xml:space="preserve">) and </w:t>
      </w:r>
      <w:r w:rsidRPr="00145167">
        <w:rPr>
          <w:i/>
        </w:rPr>
        <w:t xml:space="preserve">L. </w:t>
      </w:r>
      <w:proofErr w:type="spellStart"/>
      <w:r w:rsidRPr="00145167">
        <w:rPr>
          <w:i/>
        </w:rPr>
        <w:t>aurea</w:t>
      </w:r>
      <w:proofErr w:type="spellEnd"/>
      <w:r w:rsidRPr="00145167">
        <w:t xml:space="preserve"> (</w:t>
      </w:r>
      <w:r w:rsidR="008A4D1D" w:rsidRPr="00145167">
        <w:t xml:space="preserve">Wang </w:t>
      </w:r>
      <w:r w:rsidR="00D2595E">
        <w:t>et al.,</w:t>
      </w:r>
      <w:r w:rsidRPr="00145167">
        <w:t xml:space="preserve"> 2013). Therefore, future work should be concerned with the reconstruction of a reference transcriptome using </w:t>
      </w:r>
      <w:r w:rsidRPr="00145167">
        <w:rPr>
          <w:i/>
        </w:rPr>
        <w:t>de novo</w:t>
      </w:r>
      <w:r w:rsidRPr="00145167">
        <w:t xml:space="preserve"> assembly techniques such as Trinity (</w:t>
      </w:r>
      <w:proofErr w:type="spellStart"/>
      <w:r w:rsidR="008A4D1D" w:rsidRPr="00145167">
        <w:t>Grabherr</w:t>
      </w:r>
      <w:proofErr w:type="spellEnd"/>
      <w:r w:rsidR="008A4D1D" w:rsidRPr="00145167">
        <w:t xml:space="preserve"> </w:t>
      </w:r>
      <w:r w:rsidR="00D2595E">
        <w:t>et al.,</w:t>
      </w:r>
      <w:r w:rsidRPr="00145167">
        <w:t xml:space="preserve"> 2011), MIRA (</w:t>
      </w:r>
      <w:proofErr w:type="spellStart"/>
      <w:r w:rsidR="008A4D1D" w:rsidRPr="00145167">
        <w:t>Chevreux</w:t>
      </w:r>
      <w:proofErr w:type="spellEnd"/>
      <w:r w:rsidR="008A4D1D" w:rsidRPr="00145167">
        <w:t xml:space="preserve"> </w:t>
      </w:r>
      <w:r w:rsidR="00D2595E">
        <w:t>et al.,</w:t>
      </w:r>
      <w:r w:rsidRPr="00145167">
        <w:t xml:space="preserve"> 2004) or </w:t>
      </w:r>
      <w:proofErr w:type="spellStart"/>
      <w:r w:rsidRPr="00145167">
        <w:t>SOAPdenovo</w:t>
      </w:r>
      <w:proofErr w:type="spellEnd"/>
      <w:r w:rsidRPr="00145167">
        <w:t xml:space="preserve"> (</w:t>
      </w:r>
      <w:r w:rsidR="008A4D1D" w:rsidRPr="00145167">
        <w:t xml:space="preserve">Ward </w:t>
      </w:r>
      <w:r w:rsidR="00D2595E">
        <w:t>et al.,</w:t>
      </w:r>
      <w:r w:rsidRPr="00145167">
        <w:t xml:space="preserve"> 2012). </w:t>
      </w:r>
    </w:p>
    <w:p w:rsidR="00F52165" w:rsidRPr="002F5487" w:rsidRDefault="00F52165" w:rsidP="0068037F">
      <w:pPr>
        <w:spacing w:line="480" w:lineRule="auto"/>
        <w:rPr>
          <w:b/>
        </w:rPr>
      </w:pPr>
      <w:r w:rsidRPr="002F5487">
        <w:rPr>
          <w:b/>
        </w:rPr>
        <w:t>Conclusion</w:t>
      </w:r>
    </w:p>
    <w:p w:rsidR="0068037F" w:rsidRPr="002F5487" w:rsidRDefault="0068662E" w:rsidP="0068037F">
      <w:pPr>
        <w:spacing w:line="480" w:lineRule="auto"/>
      </w:pPr>
      <w:r w:rsidRPr="002F5487">
        <w:lastRenderedPageBreak/>
        <w:t>Secondary metabolism in plant is critically influenced by the plant growth environment as well as tissue type. Therefore, the present study revealed the differential expression pattern of genes or transcripts, biosynthetic pathways leading to the different secondary meta</w:t>
      </w:r>
      <w:r w:rsidR="00681D05" w:rsidRPr="002F5487">
        <w:t>bolites, and their</w:t>
      </w:r>
      <w:r w:rsidRPr="002F5487">
        <w:t xml:space="preserve"> molecular regulation in </w:t>
      </w:r>
      <w:r w:rsidRPr="002F5487">
        <w:rPr>
          <w:i/>
        </w:rPr>
        <w:t>N. pseudonarcissus</w:t>
      </w:r>
      <w:r w:rsidRPr="002F5487">
        <w:t xml:space="preserve"> field grown bulb (basal plate) and tissue culture derived callus.</w:t>
      </w:r>
      <w:r w:rsidR="00E33CA7" w:rsidRPr="002F5487">
        <w:t xml:space="preserve"> The findings also revealed</w:t>
      </w:r>
      <w:r w:rsidR="00FE72BD" w:rsidRPr="002F5487">
        <w:t xml:space="preserve"> that</w:t>
      </w:r>
      <w:r w:rsidR="00E33CA7" w:rsidRPr="002F5487">
        <w:t xml:space="preserve"> the major </w:t>
      </w:r>
      <w:r w:rsidR="00FE72BD" w:rsidRPr="002F5487">
        <w:t>secondary metabolites related transcripts involved in later biosynthetic pathways were mainly up-regulated in basal plate while transcripts related to initial pathways of sec</w:t>
      </w:r>
      <w:r w:rsidR="00681D05" w:rsidRPr="002F5487">
        <w:t>ondary metabolites biosynthesis and</w:t>
      </w:r>
      <w:r w:rsidR="00FE72BD" w:rsidRPr="002F5487">
        <w:t xml:space="preserve"> stress </w:t>
      </w:r>
      <w:r w:rsidR="00681D05" w:rsidRPr="002F5487">
        <w:t>response factors</w:t>
      </w:r>
      <w:r w:rsidR="00FE72BD" w:rsidRPr="002F5487">
        <w:t xml:space="preserve"> were up-regulated in callus.</w:t>
      </w:r>
      <w:r w:rsidR="0068037F" w:rsidRPr="002F5487">
        <w:t xml:space="preserve"> This study also showed the transcriptomic differences between two different tissue types’ organized </w:t>
      </w:r>
      <w:r w:rsidR="00681D05" w:rsidRPr="002F5487">
        <w:t xml:space="preserve">tissue such as </w:t>
      </w:r>
      <w:r w:rsidR="0068037F" w:rsidRPr="002F5487">
        <w:t>basal plat</w:t>
      </w:r>
      <w:r w:rsidR="00E73003" w:rsidRPr="002F5487">
        <w:t xml:space="preserve">e and unorganized </w:t>
      </w:r>
      <w:r w:rsidR="00681D05" w:rsidRPr="002F5487">
        <w:t xml:space="preserve">tissue, </w:t>
      </w:r>
      <w:r w:rsidR="00E73003" w:rsidRPr="002F5487">
        <w:t>callus</w:t>
      </w:r>
      <w:r w:rsidR="0068037F" w:rsidRPr="002F5487">
        <w:t xml:space="preserve">. However, further complete annotation of </w:t>
      </w:r>
      <w:r w:rsidR="0068037F" w:rsidRPr="002F5487">
        <w:rPr>
          <w:i/>
        </w:rPr>
        <w:t>Narcissus</w:t>
      </w:r>
      <w:r w:rsidR="0068037F" w:rsidRPr="002F5487">
        <w:t xml:space="preserve"> reference transcriptome would be better for the confident identification of novel transcripts involved in secondary metabolite production in </w:t>
      </w:r>
      <w:r w:rsidR="0068037F" w:rsidRPr="002F5487">
        <w:rPr>
          <w:i/>
        </w:rPr>
        <w:t>Narcissus</w:t>
      </w:r>
      <w:r w:rsidR="0068037F" w:rsidRPr="002F5487">
        <w:t xml:space="preserve"> field and </w:t>
      </w:r>
      <w:r w:rsidR="0068037F" w:rsidRPr="002F5487">
        <w:rPr>
          <w:i/>
        </w:rPr>
        <w:t>in vitro</w:t>
      </w:r>
      <w:r w:rsidR="0068037F" w:rsidRPr="002F5487">
        <w:t xml:space="preserve"> tissues. </w:t>
      </w:r>
    </w:p>
    <w:p w:rsidR="009A06D0" w:rsidRPr="002F5487" w:rsidRDefault="008A4D1D" w:rsidP="00145167">
      <w:pPr>
        <w:spacing w:line="480" w:lineRule="auto"/>
      </w:pPr>
      <w:r w:rsidRPr="002F5487">
        <w:rPr>
          <w:b/>
        </w:rPr>
        <w:t>Data availability statement</w:t>
      </w:r>
    </w:p>
    <w:p w:rsidR="009A06D0" w:rsidRPr="002F5487" w:rsidRDefault="009A06D0" w:rsidP="00145167">
      <w:pPr>
        <w:spacing w:line="480" w:lineRule="auto"/>
      </w:pPr>
      <w:r w:rsidRPr="002F5487">
        <w:t xml:space="preserve">The reference </w:t>
      </w:r>
      <w:r w:rsidRPr="002F5487">
        <w:rPr>
          <w:i/>
        </w:rPr>
        <w:t>Narcissus</w:t>
      </w:r>
      <w:r w:rsidRPr="002F5487">
        <w:t xml:space="preserve"> transcriptome used in this study is available on MedPlant RNA Seq Database (</w:t>
      </w:r>
      <w:hyperlink r:id="rId15" w:history="1">
        <w:r w:rsidRPr="002F5487">
          <w:rPr>
            <w:rStyle w:val="Hyperlink"/>
            <w:color w:val="auto"/>
          </w:rPr>
          <w:t>https://medplantrnaseq.org/</w:t>
        </w:r>
      </w:hyperlink>
      <w:r w:rsidRPr="002F5487">
        <w:t>).</w:t>
      </w:r>
    </w:p>
    <w:p w:rsidR="009A06D0" w:rsidRPr="002F5487" w:rsidRDefault="008A4D1D" w:rsidP="00145167">
      <w:pPr>
        <w:spacing w:line="480" w:lineRule="auto"/>
        <w:rPr>
          <w:b/>
        </w:rPr>
      </w:pPr>
      <w:r w:rsidRPr="002F5487">
        <w:rPr>
          <w:b/>
        </w:rPr>
        <w:t>Conflict of interest</w:t>
      </w:r>
    </w:p>
    <w:p w:rsidR="009A06D0" w:rsidRPr="002F5487" w:rsidRDefault="009A06D0" w:rsidP="00145167">
      <w:pPr>
        <w:spacing w:line="480" w:lineRule="auto"/>
      </w:pPr>
      <w:r w:rsidRPr="002F5487">
        <w:rPr>
          <w:rFonts w:eastAsia="Times New Roman"/>
          <w:lang w:val="en-GB" w:eastAsia="en-GB"/>
        </w:rPr>
        <w:t>The authors declare that the research was conducted in the absence of any commercial or financial relationships that could be construed as a potential conflict of interest.</w:t>
      </w:r>
    </w:p>
    <w:p w:rsidR="009A06D0" w:rsidRPr="002F5487" w:rsidRDefault="008A4D1D" w:rsidP="00145167">
      <w:pPr>
        <w:spacing w:line="480" w:lineRule="auto"/>
        <w:rPr>
          <w:b/>
        </w:rPr>
      </w:pPr>
      <w:r w:rsidRPr="002F5487">
        <w:rPr>
          <w:b/>
        </w:rPr>
        <w:t>Author</w:t>
      </w:r>
      <w:r w:rsidR="007B204C" w:rsidRPr="002F5487">
        <w:rPr>
          <w:b/>
        </w:rPr>
        <w:t>’s</w:t>
      </w:r>
      <w:r w:rsidRPr="002F5487">
        <w:rPr>
          <w:b/>
        </w:rPr>
        <w:t xml:space="preserve"> contributions</w:t>
      </w:r>
    </w:p>
    <w:p w:rsidR="009A06D0" w:rsidRPr="002F5487" w:rsidRDefault="009A06D0" w:rsidP="00145167">
      <w:pPr>
        <w:spacing w:line="480" w:lineRule="auto"/>
      </w:pPr>
      <w:r w:rsidRPr="002F5487">
        <w:t>Conceptualization, M. J. and A. F.; Methodology, M. J., X. C. and A. F.; Investigation, M. J., X. C., and A. F.; Writing - Original Draft, A. F; Writing – Review &amp; Editing, M. J. and X. C.; Funding Acquisition, A. F; Data acquisition, analysis and interpretation, A. F., Resources, M. J. and X. C.; Supervision, M. J and X. C.</w:t>
      </w:r>
    </w:p>
    <w:p w:rsidR="009A06D0" w:rsidRPr="002F5487" w:rsidRDefault="008A4D1D" w:rsidP="00145167">
      <w:pPr>
        <w:spacing w:line="480" w:lineRule="auto"/>
        <w:rPr>
          <w:b/>
        </w:rPr>
      </w:pPr>
      <w:r w:rsidRPr="002F5487">
        <w:rPr>
          <w:b/>
        </w:rPr>
        <w:t>Funding</w:t>
      </w:r>
    </w:p>
    <w:p w:rsidR="009A06D0" w:rsidRPr="002F5487" w:rsidRDefault="009A06D0" w:rsidP="00145167">
      <w:pPr>
        <w:spacing w:line="480" w:lineRule="auto"/>
      </w:pPr>
      <w:r w:rsidRPr="002F5487">
        <w:t>The work was funded by the Commonwealth Scholarship Commission, United Kingdom and University of Liverpool, United Kingdom.</w:t>
      </w:r>
    </w:p>
    <w:p w:rsidR="009A06D0" w:rsidRPr="002F5487" w:rsidRDefault="008A4D1D" w:rsidP="00D2595E">
      <w:pPr>
        <w:spacing w:line="480" w:lineRule="auto"/>
        <w:rPr>
          <w:b/>
        </w:rPr>
      </w:pPr>
      <w:r w:rsidRPr="002F5487">
        <w:rPr>
          <w:b/>
        </w:rPr>
        <w:lastRenderedPageBreak/>
        <w:t>Acknowledgements</w:t>
      </w:r>
    </w:p>
    <w:p w:rsidR="009A06D0" w:rsidRPr="002F5487" w:rsidRDefault="009A06D0" w:rsidP="00D2595E">
      <w:pPr>
        <w:spacing w:line="480" w:lineRule="auto"/>
      </w:pPr>
      <w:r w:rsidRPr="002F5487">
        <w:t xml:space="preserve">The authors would like to acknowledge Centre for Genomic Research, University of Liverpool for providing the sequenced data, Prof. Dr. Anthony Hall for his support on RNA-seq analyses, Dr. Ryan Johnson for annotating the transcripts and Dr. Jane Pulman for providing her data on previous </w:t>
      </w:r>
      <w:r w:rsidRPr="002F5487">
        <w:rPr>
          <w:i/>
        </w:rPr>
        <w:t>Narcissus</w:t>
      </w:r>
      <w:r w:rsidRPr="002F5487">
        <w:t xml:space="preserve"> transcriptome.</w:t>
      </w:r>
    </w:p>
    <w:p w:rsidR="009A06D0" w:rsidRPr="002F5487" w:rsidRDefault="008A4D1D" w:rsidP="00D2595E">
      <w:pPr>
        <w:tabs>
          <w:tab w:val="left" w:pos="2835"/>
        </w:tabs>
        <w:spacing w:line="480" w:lineRule="auto"/>
        <w:rPr>
          <w:b/>
        </w:rPr>
      </w:pPr>
      <w:r w:rsidRPr="002F5487">
        <w:rPr>
          <w:b/>
        </w:rPr>
        <w:t>Supplementary materials</w:t>
      </w:r>
    </w:p>
    <w:p w:rsidR="009A06D0" w:rsidRPr="002F5487" w:rsidRDefault="009A06D0" w:rsidP="00D2595E">
      <w:pPr>
        <w:tabs>
          <w:tab w:val="left" w:pos="2835"/>
        </w:tabs>
        <w:spacing w:line="480" w:lineRule="auto"/>
      </w:pPr>
      <w:r w:rsidRPr="002F5487">
        <w:t>The supplementary materials of this study can be found online as Supplementary 1 and Supplementary 2.</w:t>
      </w:r>
    </w:p>
    <w:p w:rsidR="00D2595E" w:rsidRPr="002F5487" w:rsidRDefault="00D2595E" w:rsidP="00D2595E">
      <w:pPr>
        <w:tabs>
          <w:tab w:val="left" w:pos="2835"/>
        </w:tabs>
        <w:spacing w:line="480" w:lineRule="auto"/>
        <w:rPr>
          <w:b/>
        </w:rPr>
      </w:pPr>
      <w:r w:rsidRPr="002F5487">
        <w:rPr>
          <w:b/>
        </w:rPr>
        <w:t>References</w:t>
      </w:r>
    </w:p>
    <w:p w:rsidR="00D2595E" w:rsidRPr="002F5487" w:rsidRDefault="00D2595E" w:rsidP="00D2595E">
      <w:pPr>
        <w:spacing w:line="480" w:lineRule="auto"/>
        <w:ind w:left="720" w:hanging="720"/>
        <w:rPr>
          <w:noProof/>
        </w:rPr>
      </w:pPr>
      <w:bookmarkStart w:id="1" w:name="_ENREF_33"/>
      <w:bookmarkStart w:id="2" w:name="_ENREF_35"/>
      <w:r w:rsidRPr="002F5487">
        <w:rPr>
          <w:noProof/>
        </w:rPr>
        <w:t>Berkov, S., Georgieva, L., Kondakova, V., Atanassov, A., Viladom</w:t>
      </w:r>
      <w:r w:rsidR="00255A91" w:rsidRPr="002F5487">
        <w:rPr>
          <w:noProof/>
        </w:rPr>
        <w:t>at, F., Bastida, J.,</w:t>
      </w:r>
      <w:r w:rsidR="00451503" w:rsidRPr="002F5487">
        <w:rPr>
          <w:noProof/>
        </w:rPr>
        <w:t xml:space="preserve"> Codina, C., </w:t>
      </w:r>
      <w:r w:rsidRPr="002F5487">
        <w:rPr>
          <w:noProof/>
        </w:rPr>
        <w:t>2009. Plant sources of galanthamine: phytochemical and biotechnological aspects. Biotech. Biotech. Equipment. 23, 1170-1176.</w:t>
      </w:r>
      <w:bookmarkEnd w:id="1"/>
      <w:r w:rsidR="000A5AE6" w:rsidRPr="002F5487">
        <w:t xml:space="preserve"> </w:t>
      </w:r>
      <w:r w:rsidR="000A5AE6" w:rsidRPr="002F5487">
        <w:rPr>
          <w:noProof/>
        </w:rPr>
        <w:t>doi/pdf/10.1080/13102818.2009.10817633</w:t>
      </w:r>
    </w:p>
    <w:p w:rsidR="00D2595E" w:rsidRPr="002F5487" w:rsidRDefault="00D2595E" w:rsidP="00D2595E">
      <w:pPr>
        <w:spacing w:line="480" w:lineRule="auto"/>
        <w:ind w:left="720" w:hanging="720"/>
        <w:rPr>
          <w:noProof/>
        </w:rPr>
      </w:pPr>
      <w:r w:rsidRPr="002F5487">
        <w:rPr>
          <w:noProof/>
        </w:rPr>
        <w:t>Berkov, S., Ivanov, I., Georgiev, V</w:t>
      </w:r>
      <w:r w:rsidR="00255A91" w:rsidRPr="002F5487">
        <w:rPr>
          <w:noProof/>
        </w:rPr>
        <w:t>., Codina, C.,</w:t>
      </w:r>
      <w:r w:rsidR="00451503" w:rsidRPr="002F5487">
        <w:rPr>
          <w:noProof/>
        </w:rPr>
        <w:t xml:space="preserve"> Pavlov, A., </w:t>
      </w:r>
      <w:r w:rsidRPr="002F5487">
        <w:rPr>
          <w:noProof/>
        </w:rPr>
        <w:t>2014. Galanthamine biosynthesis in plant in vitro systems. Eng. Life Sci. 14, 643-650.</w:t>
      </w:r>
      <w:bookmarkEnd w:id="2"/>
      <w:r w:rsidR="000A5AE6" w:rsidRPr="002F5487">
        <w:t xml:space="preserve"> </w:t>
      </w:r>
      <w:r w:rsidR="000A5AE6" w:rsidRPr="002F5487">
        <w:rPr>
          <w:noProof/>
        </w:rPr>
        <w:t>doi/pdf/10.1002/elsc.201300159</w:t>
      </w:r>
    </w:p>
    <w:p w:rsidR="00D2595E" w:rsidRPr="002F5487" w:rsidRDefault="00D2595E" w:rsidP="00D2595E">
      <w:pPr>
        <w:spacing w:line="480" w:lineRule="auto"/>
        <w:ind w:left="720" w:hanging="720"/>
        <w:rPr>
          <w:noProof/>
        </w:rPr>
      </w:pPr>
      <w:r w:rsidRPr="002F5487">
        <w:rPr>
          <w:noProof/>
        </w:rPr>
        <w:t>Chevreux, B., Pfisterer, T., Drescher, B., Driesel, A. J.</w:t>
      </w:r>
      <w:r w:rsidR="00255A91" w:rsidRPr="002F5487">
        <w:rPr>
          <w:noProof/>
        </w:rPr>
        <w:t xml:space="preserve">, Müller, W. E., Wetter, T., </w:t>
      </w:r>
      <w:r w:rsidRPr="002F5487">
        <w:rPr>
          <w:noProof/>
        </w:rPr>
        <w:t>Suhai, S.</w:t>
      </w:r>
      <w:r w:rsidR="00451503" w:rsidRPr="002F5487">
        <w:rPr>
          <w:noProof/>
        </w:rPr>
        <w:t xml:space="preserve">, </w:t>
      </w:r>
      <w:r w:rsidRPr="002F5487">
        <w:rPr>
          <w:noProof/>
        </w:rPr>
        <w:t>2004. Using the miraEST assembler for reliable and automated mRNA transcript assembly and SNP detection in sequenced ESTs. Genome Res. 14, 1147-1159.</w:t>
      </w:r>
      <w:r w:rsidR="000A5AE6" w:rsidRPr="002F5487">
        <w:rPr>
          <w:noProof/>
        </w:rPr>
        <w:t xml:space="preserve"> </w:t>
      </w:r>
      <w:r w:rsidR="000A5AE6" w:rsidRPr="002F5487">
        <w:t>ISSN 1088-9051/04</w:t>
      </w:r>
    </w:p>
    <w:p w:rsidR="00D2595E" w:rsidRPr="002F5487" w:rsidRDefault="00D2595E" w:rsidP="00D2595E">
      <w:pPr>
        <w:spacing w:line="480" w:lineRule="auto"/>
        <w:ind w:left="720" w:hanging="720"/>
        <w:rPr>
          <w:shd w:val="clear" w:color="auto" w:fill="FCFCFC"/>
        </w:rPr>
      </w:pPr>
      <w:r w:rsidRPr="002F5487">
        <w:rPr>
          <w:shd w:val="clear" w:color="auto" w:fill="FFFFFF"/>
        </w:rPr>
        <w:t xml:space="preserve">Délano-Frier, J. P., </w:t>
      </w:r>
      <w:proofErr w:type="spellStart"/>
      <w:r w:rsidRPr="002F5487">
        <w:rPr>
          <w:shd w:val="clear" w:color="auto" w:fill="FFFFFF"/>
        </w:rPr>
        <w:t>Avilés-Arnaut</w:t>
      </w:r>
      <w:proofErr w:type="spellEnd"/>
      <w:r w:rsidRPr="002F5487">
        <w:rPr>
          <w:shd w:val="clear" w:color="auto" w:fill="FFFFFF"/>
        </w:rPr>
        <w:t xml:space="preserve">, H., Casarrubias-Castillo, K., </w:t>
      </w:r>
      <w:proofErr w:type="spellStart"/>
      <w:r w:rsidRPr="002F5487">
        <w:rPr>
          <w:shd w:val="clear" w:color="auto" w:fill="FFFFFF"/>
        </w:rPr>
        <w:t>Casique</w:t>
      </w:r>
      <w:proofErr w:type="spellEnd"/>
      <w:r w:rsidRPr="002F5487">
        <w:rPr>
          <w:shd w:val="clear" w:color="auto" w:fill="FFFFFF"/>
        </w:rPr>
        <w:t xml:space="preserve">-Arroyo, G., </w:t>
      </w:r>
      <w:proofErr w:type="spellStart"/>
      <w:r w:rsidRPr="002F5487">
        <w:rPr>
          <w:shd w:val="clear" w:color="auto" w:fill="FFFFFF"/>
        </w:rPr>
        <w:t>Castrillón-Arbeláez</w:t>
      </w:r>
      <w:proofErr w:type="spellEnd"/>
      <w:r w:rsidRPr="002F5487">
        <w:rPr>
          <w:shd w:val="clear" w:color="auto" w:fill="FFFFFF"/>
        </w:rPr>
        <w:t>, P.</w:t>
      </w:r>
      <w:r w:rsidR="00451503" w:rsidRPr="002F5487">
        <w:rPr>
          <w:shd w:val="clear" w:color="auto" w:fill="FFFFFF"/>
        </w:rPr>
        <w:t xml:space="preserve"> </w:t>
      </w:r>
      <w:r w:rsidR="00255A91" w:rsidRPr="002F5487">
        <w:rPr>
          <w:shd w:val="clear" w:color="auto" w:fill="FFFFFF"/>
        </w:rPr>
        <w:t>A., Herrera-</w:t>
      </w:r>
      <w:proofErr w:type="spellStart"/>
      <w:r w:rsidR="00255A91" w:rsidRPr="002F5487">
        <w:rPr>
          <w:shd w:val="clear" w:color="auto" w:fill="FFFFFF"/>
        </w:rPr>
        <w:t>Estrella</w:t>
      </w:r>
      <w:proofErr w:type="spellEnd"/>
      <w:r w:rsidR="00255A91" w:rsidRPr="002F5487">
        <w:rPr>
          <w:shd w:val="clear" w:color="auto" w:fill="FFFFFF"/>
        </w:rPr>
        <w:t>, L.,</w:t>
      </w:r>
      <w:r w:rsidR="00451503" w:rsidRPr="002F5487">
        <w:rPr>
          <w:shd w:val="clear" w:color="auto" w:fill="FFFFFF"/>
        </w:rPr>
        <w:t xml:space="preserve"> Estrada-Hernández, M. G., 2011</w:t>
      </w:r>
      <w:r w:rsidRPr="002F5487">
        <w:rPr>
          <w:shd w:val="clear" w:color="auto" w:fill="FFFFFF"/>
        </w:rPr>
        <w:t>. Transcriptomic analysis of grain amaranth (</w:t>
      </w:r>
      <w:proofErr w:type="spellStart"/>
      <w:r w:rsidRPr="002F5487">
        <w:rPr>
          <w:i/>
          <w:shd w:val="clear" w:color="auto" w:fill="FFFFFF"/>
        </w:rPr>
        <w:t>Amaranthus</w:t>
      </w:r>
      <w:proofErr w:type="spellEnd"/>
      <w:r w:rsidRPr="002F5487">
        <w:rPr>
          <w:i/>
          <w:shd w:val="clear" w:color="auto" w:fill="FFFFFF"/>
        </w:rPr>
        <w:t xml:space="preserve"> </w:t>
      </w:r>
      <w:proofErr w:type="spellStart"/>
      <w:r w:rsidRPr="002F5487">
        <w:rPr>
          <w:i/>
          <w:shd w:val="clear" w:color="auto" w:fill="FFFFFF"/>
        </w:rPr>
        <w:t>hypochondriacus</w:t>
      </w:r>
      <w:proofErr w:type="spellEnd"/>
      <w:r w:rsidRPr="002F5487">
        <w:rPr>
          <w:shd w:val="clear" w:color="auto" w:fill="FFFFFF"/>
        </w:rPr>
        <w:t xml:space="preserve">) using 454 pyrosequencing: comparison with </w:t>
      </w:r>
      <w:r w:rsidRPr="002F5487">
        <w:rPr>
          <w:i/>
          <w:shd w:val="clear" w:color="auto" w:fill="FFFFFF"/>
        </w:rPr>
        <w:t xml:space="preserve">A. </w:t>
      </w:r>
      <w:proofErr w:type="spellStart"/>
      <w:r w:rsidRPr="002F5487">
        <w:rPr>
          <w:i/>
          <w:shd w:val="clear" w:color="auto" w:fill="FFFFFF"/>
        </w:rPr>
        <w:t>tuberculatus</w:t>
      </w:r>
      <w:proofErr w:type="spellEnd"/>
      <w:r w:rsidRPr="002F5487">
        <w:rPr>
          <w:shd w:val="clear" w:color="auto" w:fill="FFFFFF"/>
        </w:rPr>
        <w:t>, expression profiling in stems and in response to biotic and abiotic stress. </w:t>
      </w:r>
      <w:r w:rsidRPr="002F5487">
        <w:rPr>
          <w:iCs/>
          <w:shd w:val="clear" w:color="auto" w:fill="FFFFFF"/>
        </w:rPr>
        <w:t>BMC Genomics</w:t>
      </w:r>
      <w:r w:rsidRPr="002F5487">
        <w:rPr>
          <w:shd w:val="clear" w:color="auto" w:fill="FFFFFF"/>
        </w:rPr>
        <w:t xml:space="preserve">. </w:t>
      </w:r>
      <w:r w:rsidRPr="002F5487">
        <w:rPr>
          <w:iCs/>
          <w:shd w:val="clear" w:color="auto" w:fill="FFFFFF"/>
        </w:rPr>
        <w:t>12</w:t>
      </w:r>
      <w:r w:rsidRPr="002F5487">
        <w:rPr>
          <w:shd w:val="clear" w:color="auto" w:fill="FFFFFF"/>
        </w:rPr>
        <w:t xml:space="preserve">(1), 363. </w:t>
      </w:r>
      <w:hyperlink r:id="rId16" w:history="1">
        <w:r w:rsidRPr="002F5487">
          <w:rPr>
            <w:rStyle w:val="Hyperlink"/>
            <w:color w:val="auto"/>
            <w:u w:val="none"/>
            <w:shd w:val="clear" w:color="auto" w:fill="FCFCFC"/>
          </w:rPr>
          <w:t>doi.org/10.1186/1471-2164-12-363</w:t>
        </w:r>
      </w:hyperlink>
    </w:p>
    <w:p w:rsidR="00D2595E" w:rsidRPr="002F5487" w:rsidRDefault="00D2595E" w:rsidP="00D2595E">
      <w:pPr>
        <w:spacing w:line="480" w:lineRule="auto"/>
        <w:ind w:left="720" w:hanging="720"/>
        <w:rPr>
          <w:shd w:val="clear" w:color="auto" w:fill="FFFFFF"/>
        </w:rPr>
      </w:pPr>
      <w:r w:rsidRPr="002F5487">
        <w:rPr>
          <w:shd w:val="clear" w:color="auto" w:fill="FFFFFF"/>
        </w:rPr>
        <w:t xml:space="preserve">Desgagné-Penix, I., Khan, M. F., </w:t>
      </w:r>
      <w:proofErr w:type="spellStart"/>
      <w:r w:rsidRPr="002F5487">
        <w:rPr>
          <w:shd w:val="clear" w:color="auto" w:fill="FFFFFF"/>
        </w:rPr>
        <w:t>Schriemer</w:t>
      </w:r>
      <w:proofErr w:type="spellEnd"/>
      <w:r w:rsidRPr="002F5487">
        <w:rPr>
          <w:shd w:val="clear" w:color="auto" w:fill="FFFFFF"/>
        </w:rPr>
        <w:t xml:space="preserve">, D. C., Cram, D., </w:t>
      </w:r>
      <w:r w:rsidR="00255A91" w:rsidRPr="002F5487">
        <w:rPr>
          <w:shd w:val="clear" w:color="auto" w:fill="FFFFFF"/>
        </w:rPr>
        <w:t xml:space="preserve">Nowak, J., </w:t>
      </w:r>
      <w:r w:rsidR="00451503" w:rsidRPr="002F5487">
        <w:rPr>
          <w:shd w:val="clear" w:color="auto" w:fill="FFFFFF"/>
        </w:rPr>
        <w:t>Facchini, P. J., 2010</w:t>
      </w:r>
      <w:r w:rsidRPr="002F5487">
        <w:rPr>
          <w:shd w:val="clear" w:color="auto" w:fill="FFFFFF"/>
        </w:rPr>
        <w:t>. Integration of deep transcriptome and proteome analyses reveals the components of alkaloid metabolism in opium poppy cell cultures. </w:t>
      </w:r>
      <w:r w:rsidRPr="002F5487">
        <w:rPr>
          <w:iCs/>
          <w:shd w:val="clear" w:color="auto" w:fill="FFFFFF"/>
        </w:rPr>
        <w:t>BMC Plant Biol.</w:t>
      </w:r>
      <w:r w:rsidRPr="002F5487">
        <w:rPr>
          <w:shd w:val="clear" w:color="auto" w:fill="FFFFFF"/>
        </w:rPr>
        <w:t> </w:t>
      </w:r>
      <w:r w:rsidRPr="002F5487">
        <w:rPr>
          <w:iCs/>
          <w:shd w:val="clear" w:color="auto" w:fill="FFFFFF"/>
        </w:rPr>
        <w:t>10</w:t>
      </w:r>
      <w:r w:rsidRPr="002F5487">
        <w:rPr>
          <w:shd w:val="clear" w:color="auto" w:fill="FFFFFF"/>
        </w:rPr>
        <w:t>(1), 252.</w:t>
      </w:r>
      <w:r w:rsidR="006D38EC" w:rsidRPr="002F5487">
        <w:t xml:space="preserve"> </w:t>
      </w:r>
      <w:hyperlink r:id="rId17" w:history="1">
        <w:r w:rsidR="006D38EC" w:rsidRPr="002F5487">
          <w:rPr>
            <w:rStyle w:val="Hyperlink"/>
            <w:color w:val="auto"/>
            <w:u w:val="none"/>
            <w:shd w:val="clear" w:color="auto" w:fill="FCFCFC"/>
          </w:rPr>
          <w:t>doi.org/10.1186/1471-2229-10-252</w:t>
        </w:r>
      </w:hyperlink>
    </w:p>
    <w:p w:rsidR="00D2595E" w:rsidRPr="002F5487" w:rsidRDefault="00D2595E" w:rsidP="00D2595E">
      <w:pPr>
        <w:spacing w:line="480" w:lineRule="auto"/>
        <w:ind w:left="720" w:hanging="720"/>
        <w:rPr>
          <w:noProof/>
        </w:rPr>
      </w:pPr>
      <w:r w:rsidRPr="002F5487">
        <w:rPr>
          <w:shd w:val="clear" w:color="auto" w:fill="FFFFFF"/>
        </w:rPr>
        <w:lastRenderedPageBreak/>
        <w:t xml:space="preserve">Desgagné-Penix, I., Farrow, S. C., Cram, D., </w:t>
      </w:r>
      <w:r w:rsidR="00255A91" w:rsidRPr="002F5487">
        <w:rPr>
          <w:shd w:val="clear" w:color="auto" w:fill="FFFFFF"/>
        </w:rPr>
        <w:t>Nowak, J.,</w:t>
      </w:r>
      <w:r w:rsidR="00451503" w:rsidRPr="002F5487">
        <w:rPr>
          <w:shd w:val="clear" w:color="auto" w:fill="FFFFFF"/>
        </w:rPr>
        <w:t xml:space="preserve"> Facchini, P. J., 2012</w:t>
      </w:r>
      <w:r w:rsidRPr="002F5487">
        <w:rPr>
          <w:shd w:val="clear" w:color="auto" w:fill="FFFFFF"/>
        </w:rPr>
        <w:t>. Integration of deep transcript and targeted metabolite profiles for eight cultivars of opium poppy. </w:t>
      </w:r>
      <w:r w:rsidRPr="002F5487">
        <w:rPr>
          <w:iCs/>
          <w:shd w:val="clear" w:color="auto" w:fill="FFFFFF"/>
        </w:rPr>
        <w:t>Plant Mol. Biol.</w:t>
      </w:r>
      <w:r w:rsidRPr="002F5487">
        <w:rPr>
          <w:shd w:val="clear" w:color="auto" w:fill="FFFFFF"/>
        </w:rPr>
        <w:t> </w:t>
      </w:r>
      <w:r w:rsidRPr="002F5487">
        <w:rPr>
          <w:iCs/>
          <w:shd w:val="clear" w:color="auto" w:fill="FFFFFF"/>
        </w:rPr>
        <w:t>79</w:t>
      </w:r>
      <w:r w:rsidRPr="002F5487">
        <w:rPr>
          <w:shd w:val="clear" w:color="auto" w:fill="FFFFFF"/>
        </w:rPr>
        <w:t>(3), 295-313.</w:t>
      </w:r>
      <w:r w:rsidR="003F78E3" w:rsidRPr="002F5487">
        <w:t xml:space="preserve"> DOI 10.1007/s11103-012-9913-2</w:t>
      </w:r>
    </w:p>
    <w:p w:rsidR="00D2595E" w:rsidRPr="002F5487" w:rsidRDefault="00451503" w:rsidP="00D2595E">
      <w:pPr>
        <w:spacing w:line="480" w:lineRule="auto"/>
        <w:ind w:left="720" w:hanging="720"/>
        <w:rPr>
          <w:shd w:val="clear" w:color="auto" w:fill="FFFFFF"/>
        </w:rPr>
      </w:pPr>
      <w:r w:rsidRPr="002F5487">
        <w:rPr>
          <w:shd w:val="clear" w:color="auto" w:fill="FFFFFF"/>
        </w:rPr>
        <w:t xml:space="preserve">Dixon, R.A., </w:t>
      </w:r>
      <w:r w:rsidR="00D2595E" w:rsidRPr="002F5487">
        <w:rPr>
          <w:shd w:val="clear" w:color="auto" w:fill="FFFFFF"/>
        </w:rPr>
        <w:t>2001. Natural products and plant disease resistance.</w:t>
      </w:r>
      <w:r w:rsidR="00D2595E" w:rsidRPr="002F5487">
        <w:rPr>
          <w:rStyle w:val="apple-converted-space"/>
          <w:shd w:val="clear" w:color="auto" w:fill="FFFFFF"/>
        </w:rPr>
        <w:t> </w:t>
      </w:r>
      <w:proofErr w:type="gramStart"/>
      <w:r w:rsidR="00D2595E" w:rsidRPr="002F5487">
        <w:rPr>
          <w:iCs/>
          <w:shd w:val="clear" w:color="auto" w:fill="FFFFFF"/>
        </w:rPr>
        <w:t>Nature</w:t>
      </w:r>
      <w:r w:rsidR="00D2595E" w:rsidRPr="002F5487">
        <w:rPr>
          <w:shd w:val="clear" w:color="auto" w:fill="FFFFFF"/>
        </w:rPr>
        <w:t>.</w:t>
      </w:r>
      <w:proofErr w:type="gramEnd"/>
      <w:r w:rsidR="00D2595E" w:rsidRPr="002F5487">
        <w:rPr>
          <w:shd w:val="clear" w:color="auto" w:fill="FFFFFF"/>
        </w:rPr>
        <w:t xml:space="preserve"> </w:t>
      </w:r>
      <w:r w:rsidR="00D2595E" w:rsidRPr="002F5487">
        <w:rPr>
          <w:iCs/>
          <w:shd w:val="clear" w:color="auto" w:fill="FFFFFF"/>
        </w:rPr>
        <w:t xml:space="preserve">411 </w:t>
      </w:r>
      <w:r w:rsidR="00D2595E" w:rsidRPr="002F5487">
        <w:rPr>
          <w:shd w:val="clear" w:color="auto" w:fill="FFFFFF"/>
        </w:rPr>
        <w:t>(6839), 843-847.</w:t>
      </w:r>
      <w:r w:rsidR="006D38EC" w:rsidRPr="002F5487">
        <w:t xml:space="preserve"> </w:t>
      </w:r>
      <w:r w:rsidR="006D38EC" w:rsidRPr="002F5487">
        <w:br/>
      </w:r>
      <w:r w:rsidR="006D38EC" w:rsidRPr="002F5487">
        <w:rPr>
          <w:shd w:val="clear" w:color="auto" w:fill="FFFFFF"/>
        </w:rPr>
        <w:t>doi.org/10.1038/35081178</w:t>
      </w:r>
    </w:p>
    <w:p w:rsidR="00D2595E" w:rsidRPr="002F5487" w:rsidRDefault="00255A91" w:rsidP="00D2595E">
      <w:pPr>
        <w:spacing w:line="480" w:lineRule="auto"/>
        <w:ind w:left="720" w:hanging="720"/>
        <w:rPr>
          <w:noProof/>
        </w:rPr>
      </w:pPr>
      <w:r w:rsidRPr="002F5487">
        <w:rPr>
          <w:noProof/>
        </w:rPr>
        <w:t>Egan, A. N., Schlueter, J.,</w:t>
      </w:r>
      <w:r w:rsidR="00451503" w:rsidRPr="002F5487">
        <w:rPr>
          <w:noProof/>
        </w:rPr>
        <w:t xml:space="preserve"> Spooner, D. M., </w:t>
      </w:r>
      <w:r w:rsidR="00D2595E" w:rsidRPr="002F5487">
        <w:rPr>
          <w:noProof/>
        </w:rPr>
        <w:t>2012. Applications of next-generation sequencing in plant biology. American J. Bot. 99, 175-185.</w:t>
      </w:r>
      <w:r w:rsidR="003F78E3" w:rsidRPr="002F5487">
        <w:t xml:space="preserve"> </w:t>
      </w:r>
      <w:r w:rsidR="003F78E3" w:rsidRPr="002F5487">
        <w:rPr>
          <w:noProof/>
        </w:rPr>
        <w:t>doi/pdf/10.3732/ajb.1200020</w:t>
      </w:r>
    </w:p>
    <w:p w:rsidR="00D2595E" w:rsidRPr="002F5487" w:rsidRDefault="00D2595E" w:rsidP="00D2595E">
      <w:pPr>
        <w:spacing w:line="480" w:lineRule="auto"/>
        <w:ind w:left="720" w:hanging="720"/>
        <w:rPr>
          <w:noProof/>
        </w:rPr>
      </w:pPr>
      <w:r w:rsidRPr="002F5487">
        <w:rPr>
          <w:noProof/>
        </w:rPr>
        <w:t xml:space="preserve">Farag, M. A., Deavours, B. E., De Fátima, Â., </w:t>
      </w:r>
      <w:r w:rsidR="00255A91" w:rsidRPr="002F5487">
        <w:rPr>
          <w:noProof/>
        </w:rPr>
        <w:t>Naoumkina, M., Dixon, R. A.,</w:t>
      </w:r>
      <w:r w:rsidR="00451503" w:rsidRPr="002F5487">
        <w:rPr>
          <w:noProof/>
        </w:rPr>
        <w:t xml:space="preserve"> Sumner, L. W., </w:t>
      </w:r>
      <w:r w:rsidRPr="002F5487">
        <w:rPr>
          <w:noProof/>
        </w:rPr>
        <w:t>2009. Integrated metabolite and transcript profiling identify a biosynthetic mechanism for hispidol in Medicago truncatula cell cultures. Plant Physiol. 151, 1096-1113.</w:t>
      </w:r>
      <w:r w:rsidR="00F8610F" w:rsidRPr="002F5487">
        <w:rPr>
          <w:rFonts w:ascii="Helvetica" w:hAnsi="Helvetica" w:cs="Helvetica"/>
          <w:sz w:val="18"/>
          <w:szCs w:val="18"/>
          <w:shd w:val="clear" w:color="auto" w:fill="FFFFFF"/>
        </w:rPr>
        <w:t xml:space="preserve"> </w:t>
      </w:r>
      <w:r w:rsidR="00F8610F" w:rsidRPr="002F5487">
        <w:rPr>
          <w:shd w:val="clear" w:color="auto" w:fill="FFFFFF"/>
        </w:rPr>
        <w:t>doi.org/10.1104/pp.109.141481</w:t>
      </w:r>
    </w:p>
    <w:p w:rsidR="00D2595E" w:rsidRPr="002F5487" w:rsidRDefault="00D2595E" w:rsidP="00D2595E">
      <w:pPr>
        <w:spacing w:line="480" w:lineRule="auto"/>
        <w:ind w:left="720" w:hanging="720"/>
        <w:rPr>
          <w:rStyle w:val="Hyperlink"/>
          <w:color w:val="auto"/>
          <w:u w:val="none"/>
        </w:rPr>
      </w:pPr>
      <w:r w:rsidRPr="002F5487">
        <w:rPr>
          <w:shd w:val="clear" w:color="auto" w:fill="FFFFFF"/>
        </w:rPr>
        <w:t xml:space="preserve">Ferdausi, A., Chang, X., </w:t>
      </w:r>
      <w:r w:rsidR="00BE4B63" w:rsidRPr="002F5487">
        <w:rPr>
          <w:shd w:val="clear" w:color="auto" w:fill="FFFFFF"/>
        </w:rPr>
        <w:t>Hall, A.,</w:t>
      </w:r>
      <w:r w:rsidR="00255A91" w:rsidRPr="002F5487">
        <w:rPr>
          <w:shd w:val="clear" w:color="auto" w:fill="FFFFFF"/>
        </w:rPr>
        <w:t xml:space="preserve"> </w:t>
      </w:r>
      <w:r w:rsidR="00451503" w:rsidRPr="002F5487">
        <w:rPr>
          <w:shd w:val="clear" w:color="auto" w:fill="FFFFFF"/>
        </w:rPr>
        <w:t>Jones, M., 2020</w:t>
      </w:r>
      <w:r w:rsidRPr="002F5487">
        <w:rPr>
          <w:shd w:val="clear" w:color="auto" w:fill="FFFFFF"/>
        </w:rPr>
        <w:t xml:space="preserve">. Galanthamine production in tissue culture and metabolomic study on Amaryllidaceae alkaloids in </w:t>
      </w:r>
      <w:r w:rsidRPr="002F5487">
        <w:rPr>
          <w:i/>
          <w:shd w:val="clear" w:color="auto" w:fill="FFFFFF"/>
        </w:rPr>
        <w:t>Narcissus pseudonarcissus</w:t>
      </w:r>
      <w:r w:rsidRPr="002F5487">
        <w:rPr>
          <w:shd w:val="clear" w:color="auto" w:fill="FFFFFF"/>
        </w:rPr>
        <w:t xml:space="preserve"> cv. Carlton. </w:t>
      </w:r>
      <w:r w:rsidRPr="002F5487">
        <w:rPr>
          <w:iCs/>
          <w:shd w:val="clear" w:color="auto" w:fill="FFFFFF"/>
        </w:rPr>
        <w:t>Ind. Crops Prod.144</w:t>
      </w:r>
      <w:r w:rsidRPr="002F5487">
        <w:rPr>
          <w:shd w:val="clear" w:color="auto" w:fill="FFFFFF"/>
        </w:rPr>
        <w:t>, 112058.</w:t>
      </w:r>
      <w:r w:rsidR="00F8610F" w:rsidRPr="002F5487">
        <w:t xml:space="preserve"> </w:t>
      </w:r>
      <w:hyperlink r:id="rId18" w:tgtFrame="_blank" w:tooltip="Persistent link using digital object identifier" w:history="1">
        <w:r w:rsidR="00F8610F" w:rsidRPr="002F5487">
          <w:rPr>
            <w:rStyle w:val="Hyperlink"/>
            <w:color w:val="auto"/>
            <w:u w:val="none"/>
          </w:rPr>
          <w:t>doi.org/10.1016/j.indcrop.2019.112058</w:t>
        </w:r>
      </w:hyperlink>
    </w:p>
    <w:p w:rsidR="00BE4B63" w:rsidRPr="002F5487" w:rsidRDefault="00BE4B63" w:rsidP="00D2595E">
      <w:pPr>
        <w:spacing w:line="480" w:lineRule="auto"/>
        <w:ind w:left="720" w:hanging="720"/>
      </w:pPr>
      <w:r w:rsidRPr="002F5487">
        <w:rPr>
          <w:shd w:val="clear" w:color="auto" w:fill="FFFFFF"/>
        </w:rPr>
        <w:t>Ferdausi, A., Chang, X.</w:t>
      </w:r>
      <w:r w:rsidR="00255A91" w:rsidRPr="002F5487">
        <w:rPr>
          <w:shd w:val="clear" w:color="auto" w:fill="FFFFFF"/>
        </w:rPr>
        <w:t>,</w:t>
      </w:r>
      <w:r w:rsidR="00451503" w:rsidRPr="002F5487">
        <w:rPr>
          <w:shd w:val="clear" w:color="auto" w:fill="FFFFFF"/>
        </w:rPr>
        <w:t xml:space="preserve"> Jones, M., 2021a</w:t>
      </w:r>
      <w:r w:rsidRPr="002F5487">
        <w:rPr>
          <w:shd w:val="clear" w:color="auto" w:fill="FFFFFF"/>
        </w:rPr>
        <w:t xml:space="preserve">. Enhancement of galanthamine production through elicitation and NMR-based metabolite profiling in </w:t>
      </w:r>
      <w:r w:rsidRPr="002F5487">
        <w:rPr>
          <w:i/>
          <w:shd w:val="clear" w:color="auto" w:fill="FFFFFF"/>
        </w:rPr>
        <w:t>Narcissus pseudonarcissus</w:t>
      </w:r>
      <w:r w:rsidRPr="002F5487">
        <w:rPr>
          <w:shd w:val="clear" w:color="auto" w:fill="FFFFFF"/>
        </w:rPr>
        <w:t xml:space="preserve"> cv. Carlton in vitro callus cultures. </w:t>
      </w:r>
      <w:r w:rsidR="00451503" w:rsidRPr="002F5487">
        <w:rPr>
          <w:iCs/>
          <w:shd w:val="clear" w:color="auto" w:fill="FFFFFF"/>
        </w:rPr>
        <w:t xml:space="preserve">In Vitro Cell. Dev. Biol. </w:t>
      </w:r>
      <w:r w:rsidRPr="002F5487">
        <w:rPr>
          <w:iCs/>
          <w:shd w:val="clear" w:color="auto" w:fill="FFFFFF"/>
        </w:rPr>
        <w:t>Plant</w:t>
      </w:r>
      <w:r w:rsidR="00451503" w:rsidRPr="002F5487">
        <w:rPr>
          <w:shd w:val="clear" w:color="auto" w:fill="FFFFFF"/>
        </w:rPr>
        <w:t>.</w:t>
      </w:r>
      <w:r w:rsidRPr="002F5487">
        <w:rPr>
          <w:shd w:val="clear" w:color="auto" w:fill="FFFFFF"/>
        </w:rPr>
        <w:t xml:space="preserve"> </w:t>
      </w:r>
      <w:proofErr w:type="gramStart"/>
      <w:r w:rsidRPr="002F5487">
        <w:rPr>
          <w:shd w:val="clear" w:color="auto" w:fill="FFFFFF"/>
        </w:rPr>
        <w:t>pp.1-12</w:t>
      </w:r>
      <w:proofErr w:type="gramEnd"/>
      <w:r w:rsidRPr="002F5487">
        <w:rPr>
          <w:shd w:val="clear" w:color="auto" w:fill="FFFFFF"/>
        </w:rPr>
        <w:t>.</w:t>
      </w:r>
      <w:r w:rsidRPr="002F5487">
        <w:rPr>
          <w:rFonts w:ascii="Segoe UI" w:hAnsi="Segoe UI" w:cs="Segoe UI"/>
          <w:shd w:val="clear" w:color="auto" w:fill="FCFCFC"/>
        </w:rPr>
        <w:t xml:space="preserve"> </w:t>
      </w:r>
      <w:r w:rsidRPr="002F5487">
        <w:rPr>
          <w:shd w:val="clear" w:color="auto" w:fill="FCFCFC"/>
        </w:rPr>
        <w:t xml:space="preserve">doi.org/10.1007/s11627-020-10139-z </w:t>
      </w:r>
    </w:p>
    <w:p w:rsidR="00BE4B63" w:rsidRPr="002F5487" w:rsidRDefault="00BE4B63" w:rsidP="00BE4B63">
      <w:pPr>
        <w:spacing w:line="480" w:lineRule="auto"/>
        <w:ind w:left="720" w:hanging="720"/>
      </w:pPr>
      <w:r w:rsidRPr="002F5487">
        <w:rPr>
          <w:shd w:val="clear" w:color="auto" w:fill="FFFFFF"/>
        </w:rPr>
        <w:t>Ferdausi, A., Chang</w:t>
      </w:r>
      <w:r w:rsidR="00255A91" w:rsidRPr="002F5487">
        <w:rPr>
          <w:shd w:val="clear" w:color="auto" w:fill="FFFFFF"/>
        </w:rPr>
        <w:t xml:space="preserve">, X., Hall, A., </w:t>
      </w:r>
      <w:r w:rsidR="00451503" w:rsidRPr="002F5487">
        <w:rPr>
          <w:shd w:val="clear" w:color="auto" w:fill="FFFFFF"/>
        </w:rPr>
        <w:t>Jones, M., 2021b</w:t>
      </w:r>
      <w:r w:rsidRPr="002F5487">
        <w:rPr>
          <w:shd w:val="clear" w:color="auto" w:fill="FFFFFF"/>
        </w:rPr>
        <w:t xml:space="preserve">. Relative expression of putative genes involved in galanthamine and other Amaryllidaceae alkaloids biosynthesis in </w:t>
      </w:r>
      <w:r w:rsidRPr="002F5487">
        <w:rPr>
          <w:i/>
          <w:shd w:val="clear" w:color="auto" w:fill="FFFFFF"/>
        </w:rPr>
        <w:t>Narcissus</w:t>
      </w:r>
      <w:r w:rsidRPr="002F5487">
        <w:rPr>
          <w:shd w:val="clear" w:color="auto" w:fill="FFFFFF"/>
        </w:rPr>
        <w:t xml:space="preserve"> field and in vitro tissues. </w:t>
      </w:r>
      <w:r w:rsidRPr="002F5487">
        <w:rPr>
          <w:iCs/>
          <w:shd w:val="clear" w:color="auto" w:fill="FFFFFF"/>
        </w:rPr>
        <w:t>Gene</w:t>
      </w:r>
      <w:r w:rsidR="00451503" w:rsidRPr="002F5487">
        <w:rPr>
          <w:shd w:val="clear" w:color="auto" w:fill="FFFFFF"/>
        </w:rPr>
        <w:t>.</w:t>
      </w:r>
      <w:r w:rsidRPr="002F5487">
        <w:rPr>
          <w:shd w:val="clear" w:color="auto" w:fill="FFFFFF"/>
        </w:rPr>
        <w:t xml:space="preserve"> p.145424.</w:t>
      </w:r>
      <w:r w:rsidRPr="002F5487">
        <w:t xml:space="preserve"> </w:t>
      </w:r>
      <w:hyperlink r:id="rId19" w:tgtFrame="_blank" w:tooltip="Persistent link using digital object identifier" w:history="1">
        <w:r w:rsidRPr="002F5487">
          <w:rPr>
            <w:rStyle w:val="Hyperlink"/>
            <w:color w:val="auto"/>
            <w:u w:val="none"/>
          </w:rPr>
          <w:t>doi.org/10.1016/j.gene.2021.145424</w:t>
        </w:r>
      </w:hyperlink>
      <w:bookmarkStart w:id="3" w:name="_ENREF_113"/>
    </w:p>
    <w:p w:rsidR="00D2595E" w:rsidRPr="002F5487" w:rsidRDefault="00D2595E" w:rsidP="00BE4B63">
      <w:pPr>
        <w:spacing w:line="480" w:lineRule="auto"/>
        <w:ind w:left="720" w:hanging="720"/>
      </w:pPr>
      <w:r w:rsidRPr="002F5487">
        <w:rPr>
          <w:noProof/>
        </w:rPr>
        <w:t>Goff, S. A., Vaughn, M., Mckay, S., Lyons, E., Stapleton, A. E., Gessler, D., Matasc</w:t>
      </w:r>
      <w:r w:rsidR="00255A91" w:rsidRPr="002F5487">
        <w:rPr>
          <w:noProof/>
        </w:rPr>
        <w:t>i, N., Wang, L., Hanlon, M.,</w:t>
      </w:r>
      <w:r w:rsidR="00451503" w:rsidRPr="002F5487">
        <w:rPr>
          <w:noProof/>
        </w:rPr>
        <w:t xml:space="preserve"> Lenards, A., </w:t>
      </w:r>
      <w:r w:rsidRPr="002F5487">
        <w:rPr>
          <w:noProof/>
        </w:rPr>
        <w:t>2011. The iPlant collaborative: cyberinfrastructure for plant biology. Front. Plant Sci. 2, 34.</w:t>
      </w:r>
      <w:bookmarkEnd w:id="3"/>
      <w:r w:rsidR="00F8610F" w:rsidRPr="002F5487">
        <w:t xml:space="preserve"> </w:t>
      </w:r>
      <w:hyperlink r:id="rId20" w:history="1">
        <w:r w:rsidR="00F8610F" w:rsidRPr="002F5487">
          <w:rPr>
            <w:rStyle w:val="Hyperlink"/>
            <w:color w:val="auto"/>
            <w:u w:val="none"/>
            <w:shd w:val="clear" w:color="auto" w:fill="FFFFFF"/>
          </w:rPr>
          <w:t>doi.org/10.3389/fpls.2011.00034</w:t>
        </w:r>
      </w:hyperlink>
    </w:p>
    <w:p w:rsidR="00D2595E" w:rsidRPr="002F5487" w:rsidRDefault="00D2595E" w:rsidP="00D2595E">
      <w:pPr>
        <w:spacing w:line="480" w:lineRule="auto"/>
        <w:ind w:left="720" w:hanging="720"/>
        <w:rPr>
          <w:noProof/>
        </w:rPr>
      </w:pPr>
      <w:bookmarkStart w:id="4" w:name="_ENREF_115"/>
      <w:r w:rsidRPr="002F5487">
        <w:rPr>
          <w:noProof/>
        </w:rPr>
        <w:t xml:space="preserve">Góngora-Castillo, E., Childs, K. L., Fedewa, G., Hamilton, J. P., LiscombE, D. K., Magallanes-Lundback, M., Mandadi, K. </w:t>
      </w:r>
      <w:r w:rsidR="00255A91" w:rsidRPr="002F5487">
        <w:rPr>
          <w:noProof/>
        </w:rPr>
        <w:t>K., Nims, E., Runguphan, W.,</w:t>
      </w:r>
      <w:r w:rsidR="00451503" w:rsidRPr="002F5487">
        <w:rPr>
          <w:noProof/>
        </w:rPr>
        <w:t xml:space="preserve"> Vaillancourt, B., </w:t>
      </w:r>
      <w:r w:rsidRPr="002F5487">
        <w:rPr>
          <w:noProof/>
        </w:rPr>
        <w:t xml:space="preserve">2012. </w:t>
      </w:r>
      <w:r w:rsidRPr="002F5487">
        <w:rPr>
          <w:noProof/>
        </w:rPr>
        <w:lastRenderedPageBreak/>
        <w:t>Development of transcriptomic resources for interrogating the biosynthesis of monoterpene indole alkaloids in medicinal plant species. PloS one. 7, e52506.</w:t>
      </w:r>
      <w:bookmarkEnd w:id="4"/>
      <w:r w:rsidR="00F8610F" w:rsidRPr="002F5487">
        <w:t xml:space="preserve"> . doi:10.1371/journal.pone.0052506</w:t>
      </w:r>
    </w:p>
    <w:p w:rsidR="00D2595E" w:rsidRPr="002F5487" w:rsidRDefault="00D2595E" w:rsidP="00D2595E">
      <w:pPr>
        <w:spacing w:line="480" w:lineRule="auto"/>
        <w:ind w:left="720" w:hanging="720"/>
        <w:rPr>
          <w:noProof/>
        </w:rPr>
      </w:pPr>
      <w:bookmarkStart w:id="5" w:name="_ENREF_120"/>
      <w:r w:rsidRPr="002F5487">
        <w:rPr>
          <w:noProof/>
        </w:rPr>
        <w:t>G</w:t>
      </w:r>
      <w:r w:rsidR="00451503" w:rsidRPr="002F5487">
        <w:rPr>
          <w:noProof/>
        </w:rPr>
        <w:t xml:space="preserve">ong, H., Jiao, Y., Hu, W.W., Pua, E. C., </w:t>
      </w:r>
      <w:r w:rsidRPr="002F5487">
        <w:rPr>
          <w:noProof/>
        </w:rPr>
        <w:t>2005. Expression of glutathione-S-transferase and its role in plant growth and development in vivo and shoot morphogenesis in vitro. Plant Mol. Biol. 57,</w:t>
      </w:r>
      <w:bookmarkStart w:id="6" w:name="_ENREF_205"/>
      <w:r w:rsidRPr="002F5487">
        <w:rPr>
          <w:noProof/>
        </w:rPr>
        <w:t xml:space="preserve"> 53-66.</w:t>
      </w:r>
      <w:r w:rsidR="004C0785" w:rsidRPr="002F5487">
        <w:t xml:space="preserve"> DOI 10.1007/s11103-004-4516-1</w:t>
      </w:r>
    </w:p>
    <w:bookmarkEnd w:id="6"/>
    <w:p w:rsidR="00D2595E" w:rsidRPr="002F5487" w:rsidRDefault="00D2595E" w:rsidP="00D2595E">
      <w:pPr>
        <w:spacing w:line="480" w:lineRule="auto"/>
        <w:ind w:left="720" w:hanging="720"/>
        <w:rPr>
          <w:noProof/>
        </w:rPr>
      </w:pPr>
      <w:r w:rsidRPr="002F5487">
        <w:rPr>
          <w:noProof/>
        </w:rPr>
        <w:t>Grabherr, M. G., Haas, B. J., Yassour, M., Levin, J. Z., Thompson, D. A., Amit, I., Adiconis, X.</w:t>
      </w:r>
      <w:r w:rsidR="00451503" w:rsidRPr="002F5487">
        <w:rPr>
          <w:noProof/>
        </w:rPr>
        <w:t xml:space="preserve">, Fan, L., Raychowdhury, R., Zeng, Q., </w:t>
      </w:r>
      <w:r w:rsidRPr="002F5487">
        <w:rPr>
          <w:noProof/>
        </w:rPr>
        <w:t>2011. Full-length transcriptome assembly from RNA-Seq data without a reference genome. Nat. Biotech. 29, 644-652.</w:t>
      </w:r>
      <w:bookmarkEnd w:id="5"/>
      <w:r w:rsidR="00F8610F" w:rsidRPr="002F5487">
        <w:rPr>
          <w:rFonts w:ascii="Helvetica" w:hAnsi="Helvetica" w:cs="Helvetica"/>
          <w:sz w:val="21"/>
          <w:szCs w:val="21"/>
          <w:shd w:val="clear" w:color="auto" w:fill="FFFFFF"/>
        </w:rPr>
        <w:t xml:space="preserve"> </w:t>
      </w:r>
      <w:r w:rsidR="00F8610F" w:rsidRPr="002F5487">
        <w:rPr>
          <w:shd w:val="clear" w:color="auto" w:fill="FFFFFF"/>
        </w:rPr>
        <w:t>DOI: </w:t>
      </w:r>
      <w:hyperlink r:id="rId21" w:tgtFrame="_blank" w:history="1">
        <w:r w:rsidR="00F8610F" w:rsidRPr="002F5487">
          <w:rPr>
            <w:rStyle w:val="Hyperlink"/>
            <w:color w:val="auto"/>
            <w:u w:val="none"/>
            <w:bdr w:val="none" w:sz="0" w:space="0" w:color="auto" w:frame="1"/>
            <w:shd w:val="clear" w:color="auto" w:fill="FFFFFF"/>
          </w:rPr>
          <w:t>10.1038/nbt.1883</w:t>
        </w:r>
      </w:hyperlink>
      <w:r w:rsidR="00F8610F" w:rsidRPr="002F5487">
        <w:rPr>
          <w:rFonts w:ascii="Helvetica" w:hAnsi="Helvetica" w:cs="Helvetica"/>
          <w:sz w:val="21"/>
          <w:szCs w:val="21"/>
          <w:shd w:val="clear" w:color="auto" w:fill="FFFFFF"/>
        </w:rPr>
        <w:t> </w:t>
      </w:r>
    </w:p>
    <w:p w:rsidR="00D2595E" w:rsidRPr="002F5487" w:rsidRDefault="00D2595E" w:rsidP="00D2595E">
      <w:pPr>
        <w:spacing w:line="480" w:lineRule="auto"/>
        <w:ind w:left="720" w:hanging="720"/>
        <w:rPr>
          <w:noProof/>
        </w:rPr>
      </w:pPr>
      <w:bookmarkStart w:id="7" w:name="_ENREF_125"/>
      <w:r w:rsidRPr="002F5487">
        <w:rPr>
          <w:noProof/>
        </w:rPr>
        <w:t>Guo, X., Li, Y., Li, C., Luo, H., Wang, L., Qian, J., L</w:t>
      </w:r>
      <w:r w:rsidR="00451503" w:rsidRPr="002F5487">
        <w:rPr>
          <w:noProof/>
        </w:rPr>
        <w:t xml:space="preserve">uo, X., Xiang, L., Song, J., Sun, C., </w:t>
      </w:r>
      <w:r w:rsidRPr="002F5487">
        <w:rPr>
          <w:noProof/>
        </w:rPr>
        <w:t>2013. Analysis of the Dendrobium officinale transcriptome reveals putative alkaloid biosynthetic genes and genetic markers. Gene. 527, 131-138.</w:t>
      </w:r>
      <w:bookmarkEnd w:id="7"/>
      <w:r w:rsidR="004C0785" w:rsidRPr="002F5487">
        <w:t xml:space="preserve"> </w:t>
      </w:r>
      <w:hyperlink r:id="rId22" w:tgtFrame="_blank" w:tooltip="Persistent link using digital object identifier" w:history="1">
        <w:r w:rsidR="004C0785" w:rsidRPr="002F5487">
          <w:rPr>
            <w:rStyle w:val="Hyperlink"/>
            <w:color w:val="auto"/>
            <w:u w:val="none"/>
          </w:rPr>
          <w:t>doi.org/10.1016/j.gene.2013.05.073</w:t>
        </w:r>
      </w:hyperlink>
    </w:p>
    <w:p w:rsidR="00D2595E" w:rsidRPr="002F5487" w:rsidRDefault="00451503" w:rsidP="00D2595E">
      <w:pPr>
        <w:spacing w:line="480" w:lineRule="auto"/>
        <w:ind w:left="720" w:hanging="720"/>
        <w:rPr>
          <w:noProof/>
        </w:rPr>
      </w:pPr>
      <w:bookmarkStart w:id="8" w:name="_ENREF_128"/>
      <w:r w:rsidRPr="002F5487">
        <w:rPr>
          <w:noProof/>
        </w:rPr>
        <w:t xml:space="preserve">Haas, B. J., </w:t>
      </w:r>
      <w:r w:rsidR="00D2595E" w:rsidRPr="002F5487">
        <w:rPr>
          <w:noProof/>
        </w:rPr>
        <w:t>Zody</w:t>
      </w:r>
      <w:r w:rsidRPr="002F5487">
        <w:rPr>
          <w:noProof/>
        </w:rPr>
        <w:t xml:space="preserve">, M. C., </w:t>
      </w:r>
      <w:r w:rsidR="00D2595E" w:rsidRPr="002F5487">
        <w:rPr>
          <w:noProof/>
        </w:rPr>
        <w:t>2010. Advancing RNA-seq analysis. Nat. Biotech. 28, 421.</w:t>
      </w:r>
      <w:bookmarkEnd w:id="8"/>
      <w:r w:rsidR="006D38EC" w:rsidRPr="002F5487">
        <w:t xml:space="preserve"> </w:t>
      </w:r>
      <w:hyperlink r:id="rId23" w:history="1">
        <w:r w:rsidR="006D38EC" w:rsidRPr="002F5487">
          <w:rPr>
            <w:rStyle w:val="Hyperlink"/>
            <w:color w:val="auto"/>
            <w:u w:val="none"/>
            <w:shd w:val="clear" w:color="auto" w:fill="FFFFFF"/>
          </w:rPr>
          <w:t>doi.org/10.1038/nbt0510-421</w:t>
        </w:r>
      </w:hyperlink>
    </w:p>
    <w:p w:rsidR="00D2595E" w:rsidRPr="002F5487" w:rsidRDefault="00D2595E" w:rsidP="00D2595E">
      <w:pPr>
        <w:spacing w:line="480" w:lineRule="auto"/>
        <w:ind w:left="720" w:hanging="720"/>
        <w:rPr>
          <w:noProof/>
        </w:rPr>
      </w:pPr>
      <w:r w:rsidRPr="002F5487">
        <w:rPr>
          <w:noProof/>
        </w:rPr>
        <w:t>Hall, D. E., Zerbe, P., Jancsik, S., Quesada, A. L., Dullat, H</w:t>
      </w:r>
      <w:r w:rsidR="00255A91" w:rsidRPr="002F5487">
        <w:rPr>
          <w:noProof/>
        </w:rPr>
        <w:t xml:space="preserve">., Madilao, L. L., Yuen, M., Bohlmann, J., </w:t>
      </w:r>
      <w:r w:rsidRPr="002F5487">
        <w:rPr>
          <w:noProof/>
        </w:rPr>
        <w:t>2013. Evolution of conifer diterpene synthases: diterpene resin acid biosynthesis in lodgepole pine and jack pine involves monofunctional and bifunctional diterpene synthases. Plant Physiol. 161, 600-616.</w:t>
      </w:r>
      <w:r w:rsidR="004C0785" w:rsidRPr="002F5487">
        <w:rPr>
          <w:noProof/>
        </w:rPr>
        <w:t xml:space="preserve"> </w:t>
      </w:r>
      <w:r w:rsidR="004C0785" w:rsidRPr="002F5487">
        <w:rPr>
          <w:shd w:val="clear" w:color="auto" w:fill="FFFFFF"/>
        </w:rPr>
        <w:t>doi.org/10.1104/pp.112.208546</w:t>
      </w:r>
    </w:p>
    <w:p w:rsidR="00D2595E" w:rsidRPr="002F5487" w:rsidRDefault="00D2595E" w:rsidP="00D2595E">
      <w:pPr>
        <w:spacing w:line="480" w:lineRule="auto"/>
        <w:ind w:left="720" w:hanging="720"/>
        <w:rPr>
          <w:noProof/>
        </w:rPr>
      </w:pPr>
      <w:bookmarkStart w:id="9" w:name="_ENREF_140"/>
      <w:r w:rsidRPr="002F5487">
        <w:rPr>
          <w:noProof/>
        </w:rPr>
        <w:t>He, M., Qu, C., Gao,</w:t>
      </w:r>
      <w:r w:rsidR="00255A91" w:rsidRPr="002F5487">
        <w:rPr>
          <w:noProof/>
        </w:rPr>
        <w:t xml:space="preserve"> O., Hu, X., Hong, X., </w:t>
      </w:r>
      <w:r w:rsidRPr="002F5487">
        <w:rPr>
          <w:noProof/>
        </w:rPr>
        <w:t>2015. Biological and pharmacological activities of amaryllidaceae alkaloids. RSC Adv. 5, 16562-16574.</w:t>
      </w:r>
      <w:bookmarkEnd w:id="9"/>
      <w:r w:rsidR="00AE730E" w:rsidRPr="002F5487">
        <w:t xml:space="preserve"> DOI: 10.1039/x0xx00000x</w:t>
      </w:r>
    </w:p>
    <w:p w:rsidR="00D2595E" w:rsidRPr="002F5487" w:rsidRDefault="00D2595E" w:rsidP="00D2595E">
      <w:pPr>
        <w:spacing w:line="480" w:lineRule="auto"/>
        <w:ind w:left="720" w:hanging="720"/>
        <w:rPr>
          <w:shd w:val="clear" w:color="auto" w:fill="FFFFFF"/>
        </w:rPr>
      </w:pPr>
      <w:r w:rsidRPr="002F5487">
        <w:rPr>
          <w:shd w:val="clear" w:color="auto" w:fill="FFFFFF"/>
        </w:rPr>
        <w:t>Hotch</w:t>
      </w:r>
      <w:r w:rsidR="00255A91" w:rsidRPr="002F5487">
        <w:rPr>
          <w:shd w:val="clear" w:color="auto" w:fill="FFFFFF"/>
        </w:rPr>
        <w:t xml:space="preserve">andani, T., de </w:t>
      </w:r>
      <w:proofErr w:type="spellStart"/>
      <w:r w:rsidR="00255A91" w:rsidRPr="002F5487">
        <w:rPr>
          <w:shd w:val="clear" w:color="auto" w:fill="FFFFFF"/>
        </w:rPr>
        <w:t>Villers</w:t>
      </w:r>
      <w:proofErr w:type="spellEnd"/>
      <w:r w:rsidR="00255A91" w:rsidRPr="002F5487">
        <w:rPr>
          <w:shd w:val="clear" w:color="auto" w:fill="FFFFFF"/>
        </w:rPr>
        <w:t>, J., Desgagné-Penix, I., 2019</w:t>
      </w:r>
      <w:r w:rsidRPr="002F5487">
        <w:rPr>
          <w:shd w:val="clear" w:color="auto" w:fill="FFFFFF"/>
        </w:rPr>
        <w:t>. Developmental Regulation of the Expression of Amaryllidaceae Alkaloid Biosynthetic Ge</w:t>
      </w:r>
      <w:r w:rsidR="00AE730E" w:rsidRPr="002F5487">
        <w:rPr>
          <w:shd w:val="clear" w:color="auto" w:fill="FFFFFF"/>
        </w:rPr>
        <w:t xml:space="preserve">nes in </w:t>
      </w:r>
      <w:r w:rsidR="00AE730E" w:rsidRPr="002F5487">
        <w:rPr>
          <w:i/>
          <w:shd w:val="clear" w:color="auto" w:fill="FFFFFF"/>
        </w:rPr>
        <w:t>Narcissus</w:t>
      </w:r>
      <w:r w:rsidR="00AE730E" w:rsidRPr="002F5487">
        <w:rPr>
          <w:shd w:val="clear" w:color="auto" w:fill="FFFFFF"/>
        </w:rPr>
        <w:t xml:space="preserve"> </w:t>
      </w:r>
      <w:proofErr w:type="spellStart"/>
      <w:r w:rsidRPr="002F5487">
        <w:rPr>
          <w:shd w:val="clear" w:color="auto" w:fill="FFFFFF"/>
        </w:rPr>
        <w:t>papyraceus</w:t>
      </w:r>
      <w:proofErr w:type="spellEnd"/>
      <w:r w:rsidRPr="002F5487">
        <w:rPr>
          <w:shd w:val="clear" w:color="auto" w:fill="FFFFFF"/>
        </w:rPr>
        <w:t>. </w:t>
      </w:r>
      <w:r w:rsidRPr="002F5487">
        <w:rPr>
          <w:iCs/>
          <w:shd w:val="clear" w:color="auto" w:fill="FFFFFF"/>
        </w:rPr>
        <w:t>Genes</w:t>
      </w:r>
      <w:r w:rsidRPr="002F5487">
        <w:rPr>
          <w:shd w:val="clear" w:color="auto" w:fill="FFFFFF"/>
        </w:rPr>
        <w:t>. </w:t>
      </w:r>
      <w:proofErr w:type="gramStart"/>
      <w:r w:rsidRPr="002F5487">
        <w:rPr>
          <w:iCs/>
          <w:shd w:val="clear" w:color="auto" w:fill="FFFFFF"/>
        </w:rPr>
        <w:t xml:space="preserve">10 </w:t>
      </w:r>
      <w:r w:rsidRPr="002F5487">
        <w:rPr>
          <w:shd w:val="clear" w:color="auto" w:fill="FFFFFF"/>
        </w:rPr>
        <w:t>(8), 594.</w:t>
      </w:r>
      <w:bookmarkStart w:id="10" w:name="_ENREF_259"/>
      <w:proofErr w:type="gramEnd"/>
      <w:r w:rsidR="00353EA1" w:rsidRPr="002F5487">
        <w:t xml:space="preserve"> </w:t>
      </w:r>
      <w:r w:rsidR="00AE730E" w:rsidRPr="002F5487">
        <w:t>doi:10.3390/genes10080594</w:t>
      </w:r>
    </w:p>
    <w:p w:rsidR="00D2595E" w:rsidRPr="002F5487" w:rsidRDefault="00D2595E" w:rsidP="00D2595E">
      <w:pPr>
        <w:spacing w:line="480" w:lineRule="auto"/>
        <w:ind w:left="720" w:hanging="720"/>
        <w:rPr>
          <w:noProof/>
        </w:rPr>
      </w:pPr>
      <w:r w:rsidRPr="002F5487">
        <w:rPr>
          <w:noProof/>
        </w:rPr>
        <w:lastRenderedPageBreak/>
        <w:t>Huntley, R. P., Sawford, T., Mutowo-Meullenet, P., Shypitsyna, A.,</w:t>
      </w:r>
      <w:r w:rsidR="00255A91" w:rsidRPr="002F5487">
        <w:rPr>
          <w:noProof/>
        </w:rPr>
        <w:t xml:space="preserve"> Bonilla, C., Martin, M. J., O'Donovan, C., </w:t>
      </w:r>
      <w:r w:rsidRPr="002F5487">
        <w:rPr>
          <w:noProof/>
        </w:rPr>
        <w:t>2015. The GOA database: gene ontology annotation updates for 2015. Nucleic Acids Res. 43, D1057-D1063.</w:t>
      </w:r>
      <w:r w:rsidR="00CA665B" w:rsidRPr="002F5487">
        <w:t xml:space="preserve"> </w:t>
      </w:r>
      <w:hyperlink r:id="rId24" w:history="1">
        <w:r w:rsidR="00CA665B" w:rsidRPr="002F5487">
          <w:rPr>
            <w:rStyle w:val="Hyperlink"/>
            <w:color w:val="auto"/>
            <w:u w:val="none"/>
            <w:bdr w:val="none" w:sz="0" w:space="0" w:color="auto" w:frame="1"/>
            <w:shd w:val="clear" w:color="auto" w:fill="FFFFFF"/>
          </w:rPr>
          <w:t>doi.org/10.1093/</w:t>
        </w:r>
        <w:proofErr w:type="spellStart"/>
        <w:r w:rsidR="00CA665B" w:rsidRPr="002F5487">
          <w:rPr>
            <w:rStyle w:val="Hyperlink"/>
            <w:color w:val="auto"/>
            <w:u w:val="none"/>
            <w:bdr w:val="none" w:sz="0" w:space="0" w:color="auto" w:frame="1"/>
            <w:shd w:val="clear" w:color="auto" w:fill="FFFFFF"/>
          </w:rPr>
          <w:t>nar</w:t>
        </w:r>
        <w:proofErr w:type="spellEnd"/>
        <w:r w:rsidR="00CA665B" w:rsidRPr="002F5487">
          <w:rPr>
            <w:rStyle w:val="Hyperlink"/>
            <w:color w:val="auto"/>
            <w:u w:val="none"/>
            <w:bdr w:val="none" w:sz="0" w:space="0" w:color="auto" w:frame="1"/>
            <w:shd w:val="clear" w:color="auto" w:fill="FFFFFF"/>
          </w:rPr>
          <w:t>/gku1113</w:t>
        </w:r>
      </w:hyperlink>
    </w:p>
    <w:p w:rsidR="006D38EC" w:rsidRPr="002F5487" w:rsidRDefault="00D2595E" w:rsidP="006D38EC">
      <w:pPr>
        <w:spacing w:line="480" w:lineRule="auto"/>
        <w:ind w:left="720" w:hanging="720"/>
        <w:rPr>
          <w:noProof/>
        </w:rPr>
      </w:pPr>
      <w:bookmarkStart w:id="11" w:name="_ENREF_161"/>
      <w:r w:rsidRPr="002F5487">
        <w:rPr>
          <w:noProof/>
        </w:rPr>
        <w:t xml:space="preserve">Johnson, M. T., Carpenter, E. J., Tian, Z., Bruskiewich, R., Burris, J. N., Carrigan, C. T., Chase, M. W., </w:t>
      </w:r>
      <w:r w:rsidR="00255A91" w:rsidRPr="002F5487">
        <w:rPr>
          <w:noProof/>
        </w:rPr>
        <w:t xml:space="preserve">Clarke, N. D., Covshoff, S., Edger, P. P., </w:t>
      </w:r>
      <w:r w:rsidRPr="002F5487">
        <w:rPr>
          <w:noProof/>
        </w:rPr>
        <w:t>2012. Evaluating methods for isolating total RNA and predicting the success of sequencing phylogenetically diverse plant transcriptomes. PloS one. 7, e50226.</w:t>
      </w:r>
      <w:bookmarkEnd w:id="11"/>
      <w:r w:rsidR="00865C45" w:rsidRPr="002F5487">
        <w:t xml:space="preserve"> </w:t>
      </w:r>
      <w:hyperlink r:id="rId25" w:history="1">
        <w:r w:rsidR="00865C45" w:rsidRPr="002F5487">
          <w:rPr>
            <w:rStyle w:val="Hyperlink"/>
            <w:color w:val="auto"/>
            <w:u w:val="none"/>
            <w:shd w:val="clear" w:color="auto" w:fill="FFFFFF"/>
          </w:rPr>
          <w:t>doi.org/10.1371/journal.pone.0050226</w:t>
        </w:r>
      </w:hyperlink>
      <w:bookmarkStart w:id="12" w:name="_ENREF_166"/>
    </w:p>
    <w:p w:rsidR="00D2595E" w:rsidRPr="002F5487" w:rsidRDefault="00255A91" w:rsidP="006D38EC">
      <w:pPr>
        <w:spacing w:line="480" w:lineRule="auto"/>
        <w:ind w:left="720" w:hanging="720"/>
        <w:rPr>
          <w:noProof/>
        </w:rPr>
      </w:pPr>
      <w:r w:rsidRPr="002F5487">
        <w:rPr>
          <w:noProof/>
        </w:rPr>
        <w:t xml:space="preserve">Karuppusamy, S., </w:t>
      </w:r>
      <w:r w:rsidR="00D2595E" w:rsidRPr="002F5487">
        <w:rPr>
          <w:noProof/>
        </w:rPr>
        <w:t>2009. A review on trends in production of secondary metabolites from higher plants by in vitro tissue, organ and cell cultures. J. Med. Plants Res. 3, 1222-1239.</w:t>
      </w:r>
      <w:bookmarkEnd w:id="12"/>
      <w:r w:rsidR="006D38EC" w:rsidRPr="002F5487">
        <w:rPr>
          <w:noProof/>
        </w:rPr>
        <w:t xml:space="preserve"> </w:t>
      </w:r>
      <w:hyperlink r:id="rId26" w:tgtFrame="_blank" w:history="1">
        <w:r w:rsidR="006D38EC" w:rsidRPr="002F5487">
          <w:rPr>
            <w:rStyle w:val="Hyperlink"/>
            <w:color w:val="auto"/>
            <w:u w:val="none"/>
          </w:rPr>
          <w:t>doi.org/10.5897/JMPR.9000026</w:t>
        </w:r>
      </w:hyperlink>
    </w:p>
    <w:p w:rsidR="00D2595E" w:rsidRPr="002F5487" w:rsidRDefault="00D2595E" w:rsidP="00D2595E">
      <w:pPr>
        <w:spacing w:line="480" w:lineRule="auto"/>
        <w:ind w:left="720" w:hanging="720"/>
        <w:rPr>
          <w:noProof/>
        </w:rPr>
      </w:pPr>
      <w:bookmarkStart w:id="13" w:name="_ENREF_175"/>
      <w:bookmarkStart w:id="14" w:name="_ENREF_174"/>
      <w:r w:rsidRPr="002F5487">
        <w:rPr>
          <w:noProof/>
        </w:rPr>
        <w:t xml:space="preserve">Kilgore, M. B., Augustin, M. M., Starks, C. M., O’neil-Johnson, </w:t>
      </w:r>
      <w:r w:rsidR="00255A91" w:rsidRPr="002F5487">
        <w:rPr>
          <w:noProof/>
        </w:rPr>
        <w:t xml:space="preserve">M., May, G. D., Crow, J. A., Kutchan, T. M., </w:t>
      </w:r>
      <w:r w:rsidRPr="002F5487">
        <w:rPr>
          <w:noProof/>
        </w:rPr>
        <w:t xml:space="preserve">2014. Cloning and characterization of a norbelladine 4′-O-methyltransferase involved in the biosynthesis of the Alzheimer’s drug galanthamine in </w:t>
      </w:r>
      <w:r w:rsidRPr="002F5487">
        <w:rPr>
          <w:i/>
          <w:noProof/>
        </w:rPr>
        <w:t>Narcissus</w:t>
      </w:r>
      <w:r w:rsidRPr="002F5487">
        <w:rPr>
          <w:noProof/>
        </w:rPr>
        <w:t xml:space="preserve"> sp. aff. </w:t>
      </w:r>
      <w:r w:rsidRPr="002F5487">
        <w:rPr>
          <w:i/>
          <w:noProof/>
        </w:rPr>
        <w:t>pseudonarcissus.</w:t>
      </w:r>
      <w:r w:rsidRPr="002F5487">
        <w:rPr>
          <w:noProof/>
        </w:rPr>
        <w:t xml:space="preserve"> PloS one. 9, e103223.</w:t>
      </w:r>
      <w:bookmarkEnd w:id="13"/>
      <w:r w:rsidR="007C174A" w:rsidRPr="002F5487">
        <w:t xml:space="preserve"> </w:t>
      </w:r>
      <w:hyperlink r:id="rId27" w:history="1">
        <w:r w:rsidR="007C174A" w:rsidRPr="002F5487">
          <w:rPr>
            <w:rStyle w:val="Hyperlink"/>
            <w:color w:val="auto"/>
            <w:u w:val="none"/>
            <w:shd w:val="clear" w:color="auto" w:fill="FFFFFF"/>
          </w:rPr>
          <w:t>doi.org/10.1371/journal.pone.0103223</w:t>
        </w:r>
      </w:hyperlink>
    </w:p>
    <w:p w:rsidR="00D2595E" w:rsidRPr="002F5487" w:rsidRDefault="00D2595E" w:rsidP="00D2595E">
      <w:pPr>
        <w:spacing w:line="480" w:lineRule="auto"/>
        <w:ind w:left="720" w:hanging="720"/>
      </w:pPr>
      <w:r w:rsidRPr="002F5487">
        <w:rPr>
          <w:noProof/>
        </w:rPr>
        <w:t xml:space="preserve">Kilgore, M. B., Augustin, M. </w:t>
      </w:r>
      <w:r w:rsidR="00255A91" w:rsidRPr="002F5487">
        <w:rPr>
          <w:noProof/>
        </w:rPr>
        <w:t xml:space="preserve">M., May, G. D., Crow, J. A., Kutchan, T. M., </w:t>
      </w:r>
      <w:r w:rsidRPr="002F5487">
        <w:rPr>
          <w:noProof/>
        </w:rPr>
        <w:t xml:space="preserve">2016a. CYP96T1 of </w:t>
      </w:r>
      <w:r w:rsidRPr="002F5487">
        <w:rPr>
          <w:i/>
          <w:noProof/>
        </w:rPr>
        <w:t>Narcissus</w:t>
      </w:r>
      <w:r w:rsidRPr="002F5487">
        <w:rPr>
          <w:noProof/>
        </w:rPr>
        <w:t xml:space="preserve"> sp. aff. </w:t>
      </w:r>
      <w:r w:rsidRPr="002F5487">
        <w:rPr>
          <w:i/>
          <w:noProof/>
        </w:rPr>
        <w:t>pseudonarcissus</w:t>
      </w:r>
      <w:r w:rsidRPr="002F5487">
        <w:rPr>
          <w:noProof/>
        </w:rPr>
        <w:t xml:space="preserve"> Catalyzes Formation of the Para-Para'CC Phenol Couple in the Amaryllidaceae Alkaloids. Front. Plant Sci. </w:t>
      </w:r>
      <w:proofErr w:type="spellStart"/>
      <w:r w:rsidRPr="002F5487">
        <w:t>doi</w:t>
      </w:r>
      <w:proofErr w:type="spellEnd"/>
      <w:r w:rsidRPr="002F5487">
        <w:t>: 10.3389/fpls.2016.00225.</w:t>
      </w:r>
    </w:p>
    <w:p w:rsidR="00D2595E" w:rsidRPr="002F5487" w:rsidRDefault="00D2595E" w:rsidP="00D2595E">
      <w:pPr>
        <w:spacing w:line="480" w:lineRule="auto"/>
        <w:ind w:left="720" w:hanging="720"/>
        <w:rPr>
          <w:noProof/>
        </w:rPr>
      </w:pPr>
      <w:bookmarkStart w:id="15" w:name="_ENREF_176"/>
      <w:r w:rsidRPr="002F5487">
        <w:rPr>
          <w:noProof/>
        </w:rPr>
        <w:t>Kilgore, M. B., Holland, C. K., Jez, J. M., and Kutchan, T. M. (2016b). Identification of a Noroxomaritidine Reductase with Amaryllidaceae Alkaloid Biosynthesis Related Activities. J. Biol. Chem. jbc. M116. 717827.</w:t>
      </w:r>
      <w:bookmarkEnd w:id="15"/>
      <w:r w:rsidR="007C174A" w:rsidRPr="002F5487">
        <w:t xml:space="preserve"> </w:t>
      </w:r>
      <w:hyperlink r:id="rId28" w:tgtFrame="_blank" w:tooltip="Persistent link using digital object identifier" w:history="1">
        <w:r w:rsidR="007C174A" w:rsidRPr="002F5487">
          <w:rPr>
            <w:rStyle w:val="Hyperlink"/>
            <w:color w:val="auto"/>
            <w:u w:val="none"/>
          </w:rPr>
          <w:t>doi.org/10.1074/jbc.M116.717827</w:t>
        </w:r>
      </w:hyperlink>
    </w:p>
    <w:bookmarkEnd w:id="14"/>
    <w:p w:rsidR="00D2595E" w:rsidRPr="002F5487" w:rsidRDefault="00255A91" w:rsidP="00D2595E">
      <w:pPr>
        <w:spacing w:line="480" w:lineRule="auto"/>
        <w:ind w:left="720" w:hanging="720"/>
      </w:pPr>
      <w:r w:rsidRPr="002F5487">
        <w:rPr>
          <w:noProof/>
        </w:rPr>
        <w:t>Kumar, S., Banks, T. W.,</w:t>
      </w:r>
      <w:r w:rsidR="00D2595E" w:rsidRPr="002F5487">
        <w:rPr>
          <w:noProof/>
        </w:rPr>
        <w:t xml:space="preserve"> </w:t>
      </w:r>
      <w:r w:rsidRPr="002F5487">
        <w:rPr>
          <w:noProof/>
        </w:rPr>
        <w:t xml:space="preserve">Cloutier, S., </w:t>
      </w:r>
      <w:r w:rsidR="00D2595E" w:rsidRPr="002F5487">
        <w:rPr>
          <w:noProof/>
        </w:rPr>
        <w:t xml:space="preserve">2012. SNP discovery through next-generation sequencing and its applications. Int. J. Plant Genomics. </w:t>
      </w:r>
      <w:r w:rsidR="00D2595E" w:rsidRPr="002F5487">
        <w:t>doi:10.1155/2012/831460</w:t>
      </w:r>
    </w:p>
    <w:p w:rsidR="00D2595E" w:rsidRPr="002F5487" w:rsidRDefault="00D2595E" w:rsidP="00D2595E">
      <w:pPr>
        <w:spacing w:line="480" w:lineRule="auto"/>
        <w:ind w:left="720" w:hanging="720"/>
        <w:rPr>
          <w:noProof/>
        </w:rPr>
      </w:pPr>
      <w:r w:rsidRPr="002F5487">
        <w:rPr>
          <w:noProof/>
        </w:rPr>
        <w:t>Lee, J., Kang</w:t>
      </w:r>
      <w:r w:rsidR="00255A91" w:rsidRPr="002F5487">
        <w:rPr>
          <w:noProof/>
        </w:rPr>
        <w:t xml:space="preserve">, Y., Shin, S. C., Park, H., Lee, H., </w:t>
      </w:r>
      <w:r w:rsidRPr="002F5487">
        <w:rPr>
          <w:noProof/>
        </w:rPr>
        <w:t>2014. Combined analysis of the chloroplast genome and transcriptome of the Antarctic vascular plant Deschampsia antarctica Desv. PloS one. 9, e92501.</w:t>
      </w:r>
      <w:r w:rsidR="007C174A" w:rsidRPr="002F5487">
        <w:t xml:space="preserve"> </w:t>
      </w:r>
      <w:hyperlink r:id="rId29" w:history="1">
        <w:r w:rsidR="007C174A" w:rsidRPr="002F5487">
          <w:rPr>
            <w:rStyle w:val="Hyperlink"/>
            <w:color w:val="auto"/>
            <w:u w:val="none"/>
            <w:shd w:val="clear" w:color="auto" w:fill="FFFFFF"/>
          </w:rPr>
          <w:t>doi.org/10.1371/journal.pone.0092501</w:t>
        </w:r>
      </w:hyperlink>
    </w:p>
    <w:p w:rsidR="00D2595E" w:rsidRPr="002F5487" w:rsidRDefault="00D2595E" w:rsidP="00D2595E">
      <w:pPr>
        <w:spacing w:line="480" w:lineRule="auto"/>
        <w:ind w:left="720" w:hanging="720"/>
        <w:rPr>
          <w:noProof/>
        </w:rPr>
      </w:pPr>
      <w:bookmarkStart w:id="16" w:name="_ENREF_206"/>
      <w:r w:rsidRPr="002F5487">
        <w:rPr>
          <w:noProof/>
        </w:rPr>
        <w:lastRenderedPageBreak/>
        <w:t>Liscombe, D. K., Ziegler,</w:t>
      </w:r>
      <w:r w:rsidR="00255A91" w:rsidRPr="002F5487">
        <w:rPr>
          <w:noProof/>
        </w:rPr>
        <w:t xml:space="preserve"> J., Schmidt, J., Ammer, C., Facchini, P. J., </w:t>
      </w:r>
      <w:r w:rsidRPr="002F5487">
        <w:rPr>
          <w:noProof/>
        </w:rPr>
        <w:t>2009. Targeted metabolite and transcript profiling for elucidating enzyme function: isolation of novel N‐methyltransferases from three benzylisoquinoline alkaloid‐producing species. The Plant J. 60, 729-743.</w:t>
      </w:r>
      <w:bookmarkEnd w:id="16"/>
      <w:r w:rsidR="007C174A" w:rsidRPr="002F5487">
        <w:t xml:space="preserve"> </w:t>
      </w:r>
      <w:r w:rsidR="007C174A" w:rsidRPr="002F5487">
        <w:rPr>
          <w:noProof/>
        </w:rPr>
        <w:t>doi/pdfdirect/10.1111/j.1365-313X.2009.03980.x</w:t>
      </w:r>
    </w:p>
    <w:p w:rsidR="00D2595E" w:rsidRPr="002F5487" w:rsidRDefault="00D2595E" w:rsidP="00D2595E">
      <w:pPr>
        <w:spacing w:line="480" w:lineRule="auto"/>
        <w:ind w:left="720" w:hanging="720"/>
        <w:rPr>
          <w:noProof/>
        </w:rPr>
      </w:pPr>
      <w:r w:rsidRPr="002F5487">
        <w:rPr>
          <w:noProof/>
        </w:rPr>
        <w:t>Li</w:t>
      </w:r>
      <w:r w:rsidR="00255A91" w:rsidRPr="002F5487">
        <w:rPr>
          <w:noProof/>
        </w:rPr>
        <w:t xml:space="preserve">scombe, D. K., Louie, G. V., Noel, J. P., </w:t>
      </w:r>
      <w:r w:rsidRPr="002F5487">
        <w:rPr>
          <w:noProof/>
        </w:rPr>
        <w:t>2012. Architectures, mechanisms and molecular evolution of natural product methyltransferases. Nat. Prod. Rep. 29, 1238-1250.</w:t>
      </w:r>
      <w:r w:rsidR="007C174A" w:rsidRPr="002F5487">
        <w:rPr>
          <w:noProof/>
        </w:rPr>
        <w:t xml:space="preserve"> </w:t>
      </w:r>
      <w:hyperlink r:id="rId30" w:tooltip="Link to landing page via DOI" w:history="1">
        <w:r w:rsidR="007C174A" w:rsidRPr="002F5487">
          <w:rPr>
            <w:rStyle w:val="Hyperlink"/>
            <w:bCs/>
            <w:color w:val="auto"/>
            <w:u w:val="none"/>
            <w:shd w:val="clear" w:color="auto" w:fill="FFFFFF"/>
          </w:rPr>
          <w:t>doi.org/10.1039/C2NP20029E</w:t>
        </w:r>
      </w:hyperlink>
    </w:p>
    <w:p w:rsidR="00D2595E" w:rsidRPr="002F5487" w:rsidRDefault="00D2595E" w:rsidP="00D2595E">
      <w:pPr>
        <w:spacing w:line="480" w:lineRule="auto"/>
        <w:ind w:left="720" w:hanging="720"/>
        <w:rPr>
          <w:noProof/>
        </w:rPr>
      </w:pPr>
      <w:bookmarkStart w:id="17" w:name="_ENREF_216"/>
      <w:r w:rsidRPr="002F5487">
        <w:rPr>
          <w:noProof/>
        </w:rPr>
        <w:t>Lubbe, A., Gude, H., Verp</w:t>
      </w:r>
      <w:r w:rsidR="00255A91" w:rsidRPr="002F5487">
        <w:rPr>
          <w:noProof/>
        </w:rPr>
        <w:t xml:space="preserve">oorte, R., Choi, Y. H., </w:t>
      </w:r>
      <w:r w:rsidRPr="002F5487">
        <w:rPr>
          <w:noProof/>
        </w:rPr>
        <w:t xml:space="preserve">2013. Seasonal accumulation of major alkaloids in organs of pharmaceutical crop </w:t>
      </w:r>
      <w:r w:rsidRPr="002F5487">
        <w:rPr>
          <w:i/>
          <w:noProof/>
        </w:rPr>
        <w:t>Narcissus</w:t>
      </w:r>
      <w:r w:rsidRPr="002F5487">
        <w:rPr>
          <w:noProof/>
        </w:rPr>
        <w:t xml:space="preserve"> Carlton. Phytochem. 88, 43-53.</w:t>
      </w:r>
      <w:bookmarkEnd w:id="17"/>
      <w:r w:rsidR="007C174A" w:rsidRPr="002F5487">
        <w:t xml:space="preserve"> doi.org/10.1016/j.phytochem.2012.12.008</w:t>
      </w:r>
    </w:p>
    <w:p w:rsidR="00D2595E" w:rsidRPr="002F5487" w:rsidRDefault="00D2595E" w:rsidP="00D2595E">
      <w:pPr>
        <w:spacing w:line="480" w:lineRule="auto"/>
        <w:ind w:left="720" w:hanging="720"/>
        <w:rPr>
          <w:noProof/>
        </w:rPr>
      </w:pPr>
      <w:r w:rsidRPr="002F5487">
        <w:rPr>
          <w:noProof/>
        </w:rPr>
        <w:t>Mortazavi, A., Williams, B. A., Mccue, K., Schaeffer, L</w:t>
      </w:r>
      <w:r w:rsidR="00255A91" w:rsidRPr="002F5487">
        <w:rPr>
          <w:noProof/>
        </w:rPr>
        <w:t xml:space="preserve">., Wold, B., </w:t>
      </w:r>
      <w:r w:rsidRPr="002F5487">
        <w:rPr>
          <w:noProof/>
        </w:rPr>
        <w:t>2008. Mapping and quantifying mammalian transcriptomes by RNA-Seq. Nat. Methods. 5, 621-628.</w:t>
      </w:r>
      <w:r w:rsidR="00053C86" w:rsidRPr="002F5487">
        <w:t xml:space="preserve"> </w:t>
      </w:r>
      <w:r w:rsidR="00053C86" w:rsidRPr="002F5487">
        <w:br/>
      </w:r>
      <w:r w:rsidR="00053C86" w:rsidRPr="002F5487">
        <w:rPr>
          <w:shd w:val="clear" w:color="auto" w:fill="FFFFFF"/>
        </w:rPr>
        <w:t>doi.org/10.1038/nmeth.1226</w:t>
      </w:r>
    </w:p>
    <w:p w:rsidR="00D2595E" w:rsidRPr="002F5487" w:rsidRDefault="00255A91" w:rsidP="00D2595E">
      <w:pPr>
        <w:spacing w:line="480" w:lineRule="auto"/>
        <w:ind w:left="720" w:hanging="720"/>
        <w:rPr>
          <w:noProof/>
        </w:rPr>
      </w:pPr>
      <w:r w:rsidRPr="002F5487">
        <w:rPr>
          <w:noProof/>
        </w:rPr>
        <w:t xml:space="preserve">Mulabagal, V., Tsay, H. S., </w:t>
      </w:r>
      <w:r w:rsidR="00D2595E" w:rsidRPr="002F5487">
        <w:rPr>
          <w:noProof/>
        </w:rPr>
        <w:t>2004. Plant cell cultures-an alternative and efficient source for the production of biologically important secondary metabolites. Int. J. Appl. Sci. Eng. 2, 29-48.</w:t>
      </w:r>
      <w:r w:rsidR="00053C86" w:rsidRPr="002F5487">
        <w:t xml:space="preserve"> ISSN 1727-2394</w:t>
      </w:r>
    </w:p>
    <w:p w:rsidR="00D2595E" w:rsidRPr="002F5487" w:rsidRDefault="00255A91" w:rsidP="00D2595E">
      <w:pPr>
        <w:spacing w:line="480" w:lineRule="auto"/>
        <w:ind w:left="720" w:hanging="720"/>
        <w:rPr>
          <w:noProof/>
        </w:rPr>
      </w:pPr>
      <w:bookmarkStart w:id="18" w:name="_ENREF_243"/>
      <w:r w:rsidRPr="002F5487">
        <w:rPr>
          <w:noProof/>
        </w:rPr>
        <w:t xml:space="preserve">Murashige, T., Skoog, F., </w:t>
      </w:r>
      <w:r w:rsidR="00D2595E" w:rsidRPr="002F5487">
        <w:rPr>
          <w:noProof/>
        </w:rPr>
        <w:t>1962. A revised medium for rapid growth and bio assays with tobacco tissue cultures. Physiol. Planta. 15, 473-497.</w:t>
      </w:r>
      <w:bookmarkEnd w:id="18"/>
    </w:p>
    <w:p w:rsidR="00D2595E" w:rsidRPr="002F5487" w:rsidRDefault="00D2595E" w:rsidP="00D2595E">
      <w:pPr>
        <w:spacing w:line="480" w:lineRule="auto"/>
        <w:ind w:left="720" w:hanging="720"/>
        <w:rPr>
          <w:noProof/>
        </w:rPr>
      </w:pPr>
      <w:r w:rsidRPr="002F5487">
        <w:rPr>
          <w:noProof/>
        </w:rPr>
        <w:t>Nagalakshmi, U., Wang, Z., Waern, K., Shou,</w:t>
      </w:r>
      <w:r w:rsidR="00255A91" w:rsidRPr="002F5487">
        <w:rPr>
          <w:noProof/>
        </w:rPr>
        <w:t xml:space="preserve"> C., Raha, D., Gerstein, M., Snyder, M., </w:t>
      </w:r>
      <w:r w:rsidRPr="002F5487">
        <w:rPr>
          <w:noProof/>
        </w:rPr>
        <w:t>2008. The transcriptional landscape of the yeast genome defined by RNA sequencing. Science. 320, 1344-1349.</w:t>
      </w:r>
      <w:r w:rsidR="00053C86" w:rsidRPr="002F5487">
        <w:rPr>
          <w:shd w:val="clear" w:color="auto" w:fill="FFFFFF"/>
        </w:rPr>
        <w:t xml:space="preserve"> DOI: 10.1126/science.1158441</w:t>
      </w:r>
    </w:p>
    <w:p w:rsidR="00D2595E" w:rsidRPr="002F5487" w:rsidRDefault="009D4233" w:rsidP="00D2595E">
      <w:pPr>
        <w:spacing w:line="480" w:lineRule="auto"/>
        <w:ind w:left="720" w:hanging="720"/>
        <w:rPr>
          <w:noProof/>
        </w:rPr>
      </w:pPr>
      <w:bookmarkStart w:id="19" w:name="_ENREF_247"/>
      <w:r w:rsidRPr="002F5487">
        <w:rPr>
          <w:noProof/>
        </w:rPr>
        <w:t xml:space="preserve">Nalawade, S. M., Tsay, H. S., </w:t>
      </w:r>
      <w:r w:rsidR="00D2595E" w:rsidRPr="002F5487">
        <w:rPr>
          <w:noProof/>
        </w:rPr>
        <w:t>2004. In vitro propagation of some important Chinese medicinal plants and their sustainable usage. In Vitro Cel. Dev. Biol. Plant. 40, 143-154.</w:t>
      </w:r>
      <w:bookmarkEnd w:id="19"/>
      <w:r w:rsidR="00053C86" w:rsidRPr="002F5487">
        <w:t xml:space="preserve"> </w:t>
      </w:r>
      <w:r w:rsidR="00053C86" w:rsidRPr="002F5487">
        <w:br/>
      </w:r>
      <w:r w:rsidR="00053C86" w:rsidRPr="002F5487">
        <w:rPr>
          <w:shd w:val="clear" w:color="auto" w:fill="FCFCFC"/>
        </w:rPr>
        <w:t>doi.org/10.1079/IVP2003504</w:t>
      </w:r>
    </w:p>
    <w:p w:rsidR="00D2595E" w:rsidRPr="002F5487" w:rsidRDefault="009D4233" w:rsidP="00D2595E">
      <w:pPr>
        <w:spacing w:line="480" w:lineRule="auto"/>
        <w:ind w:left="720" w:hanging="720"/>
        <w:rPr>
          <w:noProof/>
        </w:rPr>
      </w:pPr>
      <w:bookmarkStart w:id="20" w:name="_ENREF_252"/>
      <w:r w:rsidRPr="002F5487">
        <w:rPr>
          <w:noProof/>
        </w:rPr>
        <w:lastRenderedPageBreak/>
        <w:t xml:space="preserve">Neelakandan, A. K., Wang, K., </w:t>
      </w:r>
      <w:r w:rsidR="00D2595E" w:rsidRPr="002F5487">
        <w:rPr>
          <w:noProof/>
        </w:rPr>
        <w:t>2012. Recent progress in the understanding of tissue culture-induced genome level changes in plants and potential applications. Plant Cell Rep. 31, 597-620.</w:t>
      </w:r>
      <w:bookmarkEnd w:id="20"/>
      <w:r w:rsidR="00053C86" w:rsidRPr="002F5487">
        <w:t xml:space="preserve"> </w:t>
      </w:r>
      <w:hyperlink r:id="rId31" w:history="1">
        <w:r w:rsidR="00053C86" w:rsidRPr="002F5487">
          <w:rPr>
            <w:rStyle w:val="Hyperlink"/>
            <w:color w:val="auto"/>
            <w:u w:val="none"/>
            <w:shd w:val="clear" w:color="auto" w:fill="FCFCFC"/>
          </w:rPr>
          <w:t>doi.org/10.1007/s00299-011-1202-z</w:t>
        </w:r>
      </w:hyperlink>
    </w:p>
    <w:p w:rsidR="00D2595E" w:rsidRPr="002F5487" w:rsidRDefault="009D4233" w:rsidP="00D2595E">
      <w:pPr>
        <w:spacing w:line="480" w:lineRule="auto"/>
        <w:ind w:left="720" w:hanging="720"/>
        <w:rPr>
          <w:noProof/>
        </w:rPr>
      </w:pPr>
      <w:bookmarkStart w:id="21" w:name="_ENREF_256"/>
      <w:r w:rsidRPr="002F5487">
        <w:rPr>
          <w:noProof/>
        </w:rPr>
        <w:t xml:space="preserve">Ober, D., </w:t>
      </w:r>
      <w:r w:rsidR="00D2595E" w:rsidRPr="002F5487">
        <w:rPr>
          <w:noProof/>
        </w:rPr>
        <w:t>2005. Seeing double: gene duplication and diversification in plant secondary metabolism. Trends Plant Sci. 10, 444-449.</w:t>
      </w:r>
      <w:bookmarkEnd w:id="21"/>
      <w:r w:rsidR="00053C86" w:rsidRPr="002F5487">
        <w:t xml:space="preserve"> </w:t>
      </w:r>
      <w:hyperlink r:id="rId32" w:tgtFrame="_blank" w:tooltip="Persistent link using digital object identifier" w:history="1">
        <w:r w:rsidR="00053C86" w:rsidRPr="002F5487">
          <w:rPr>
            <w:rStyle w:val="Hyperlink"/>
            <w:color w:val="auto"/>
            <w:u w:val="none"/>
          </w:rPr>
          <w:t>doi.org/10.1016/j.tplants.2005.07.007</w:t>
        </w:r>
      </w:hyperlink>
    </w:p>
    <w:p w:rsidR="00D2595E" w:rsidRPr="002F5487" w:rsidRDefault="00D2595E" w:rsidP="00D2595E">
      <w:pPr>
        <w:spacing w:line="480" w:lineRule="auto"/>
        <w:ind w:left="720" w:hanging="720"/>
        <w:rPr>
          <w:noProof/>
        </w:rPr>
      </w:pPr>
      <w:r w:rsidRPr="002F5487">
        <w:rPr>
          <w:noProof/>
        </w:rPr>
        <w:t xml:space="preserve">Ogata, H., Goto, S., Sato, </w:t>
      </w:r>
      <w:r w:rsidR="009D4233" w:rsidRPr="002F5487">
        <w:rPr>
          <w:noProof/>
        </w:rPr>
        <w:t>K., Fujibuchi, W., Bono, H.,</w:t>
      </w:r>
      <w:r w:rsidRPr="002F5487">
        <w:rPr>
          <w:noProof/>
        </w:rPr>
        <w:t xml:space="preserve"> </w:t>
      </w:r>
      <w:r w:rsidR="009D4233" w:rsidRPr="002F5487">
        <w:rPr>
          <w:noProof/>
        </w:rPr>
        <w:t xml:space="preserve">Kanehisa, M., </w:t>
      </w:r>
      <w:r w:rsidRPr="002F5487">
        <w:rPr>
          <w:noProof/>
        </w:rPr>
        <w:t>1999. KEGG: Kyoto encyclopedia of genes and genomes. Nucleic Acids Res. 27, 29-34.</w:t>
      </w:r>
      <w:r w:rsidR="00053C86" w:rsidRPr="002F5487">
        <w:t xml:space="preserve"> </w:t>
      </w:r>
      <w:hyperlink r:id="rId33" w:history="1">
        <w:r w:rsidR="00053C86" w:rsidRPr="002F5487">
          <w:rPr>
            <w:rStyle w:val="Hyperlink"/>
            <w:color w:val="auto"/>
            <w:u w:val="none"/>
            <w:bdr w:val="none" w:sz="0" w:space="0" w:color="auto" w:frame="1"/>
            <w:shd w:val="clear" w:color="auto" w:fill="FFFFFF"/>
          </w:rPr>
          <w:t>doi.org/10.1093/</w:t>
        </w:r>
        <w:proofErr w:type="spellStart"/>
        <w:r w:rsidR="00053C86" w:rsidRPr="002F5487">
          <w:rPr>
            <w:rStyle w:val="Hyperlink"/>
            <w:color w:val="auto"/>
            <w:u w:val="none"/>
            <w:bdr w:val="none" w:sz="0" w:space="0" w:color="auto" w:frame="1"/>
            <w:shd w:val="clear" w:color="auto" w:fill="FFFFFF"/>
          </w:rPr>
          <w:t>nar</w:t>
        </w:r>
        <w:proofErr w:type="spellEnd"/>
        <w:r w:rsidR="00053C86" w:rsidRPr="002F5487">
          <w:rPr>
            <w:rStyle w:val="Hyperlink"/>
            <w:color w:val="auto"/>
            <w:u w:val="none"/>
            <w:bdr w:val="none" w:sz="0" w:space="0" w:color="auto" w:frame="1"/>
            <w:shd w:val="clear" w:color="auto" w:fill="FFFFFF"/>
          </w:rPr>
          <w:t>/27.1.29</w:t>
        </w:r>
      </w:hyperlink>
    </w:p>
    <w:p w:rsidR="00D2595E" w:rsidRPr="002F5487" w:rsidRDefault="009D4233" w:rsidP="00D2595E">
      <w:pPr>
        <w:spacing w:line="480" w:lineRule="auto"/>
        <w:ind w:left="720" w:hanging="720"/>
        <w:rPr>
          <w:noProof/>
        </w:rPr>
      </w:pPr>
      <w:bookmarkStart w:id="22" w:name="_ENREF_257"/>
      <w:r w:rsidRPr="002F5487">
        <w:rPr>
          <w:noProof/>
        </w:rPr>
        <w:t xml:space="preserve">Ogawa, D., Yamaguchi, K., Nishiuchi, T., </w:t>
      </w:r>
      <w:r w:rsidR="00D2595E" w:rsidRPr="002F5487">
        <w:rPr>
          <w:noProof/>
        </w:rPr>
        <w:t>2007. High-level overexpression of the Arabidopsis HsfA2 gene confers not only increased themotolerance but also salt/osmotic stress tolerance and enhanced callus growth. J. Exp. Bot. 58, 3373-3383.</w:t>
      </w:r>
      <w:bookmarkEnd w:id="22"/>
      <w:r w:rsidR="00053C86" w:rsidRPr="002F5487">
        <w:t xml:space="preserve"> </w:t>
      </w:r>
      <w:hyperlink r:id="rId34" w:history="1">
        <w:r w:rsidR="00053C86" w:rsidRPr="002F5487">
          <w:rPr>
            <w:rStyle w:val="Hyperlink"/>
            <w:color w:val="auto"/>
            <w:u w:val="none"/>
            <w:bdr w:val="none" w:sz="0" w:space="0" w:color="auto" w:frame="1"/>
            <w:shd w:val="clear" w:color="auto" w:fill="FFFFFF"/>
          </w:rPr>
          <w:t>doi.org/10.1093/</w:t>
        </w:r>
        <w:proofErr w:type="spellStart"/>
        <w:r w:rsidR="00053C86" w:rsidRPr="002F5487">
          <w:rPr>
            <w:rStyle w:val="Hyperlink"/>
            <w:color w:val="auto"/>
            <w:u w:val="none"/>
            <w:bdr w:val="none" w:sz="0" w:space="0" w:color="auto" w:frame="1"/>
            <w:shd w:val="clear" w:color="auto" w:fill="FFFFFF"/>
          </w:rPr>
          <w:t>jxb</w:t>
        </w:r>
        <w:proofErr w:type="spellEnd"/>
        <w:r w:rsidR="00053C86" w:rsidRPr="002F5487">
          <w:rPr>
            <w:rStyle w:val="Hyperlink"/>
            <w:color w:val="auto"/>
            <w:u w:val="none"/>
            <w:bdr w:val="none" w:sz="0" w:space="0" w:color="auto" w:frame="1"/>
            <w:shd w:val="clear" w:color="auto" w:fill="FFFFFF"/>
          </w:rPr>
          <w:t>/erm184</w:t>
        </w:r>
      </w:hyperlink>
    </w:p>
    <w:p w:rsidR="00D2595E" w:rsidRPr="002F5487" w:rsidRDefault="009D4233" w:rsidP="00D2595E">
      <w:pPr>
        <w:spacing w:line="480" w:lineRule="auto"/>
        <w:ind w:left="720" w:hanging="720"/>
        <w:rPr>
          <w:noProof/>
        </w:rPr>
      </w:pPr>
      <w:r w:rsidRPr="002F5487">
        <w:rPr>
          <w:noProof/>
        </w:rPr>
        <w:t xml:space="preserve">Oksman-Caldentey, K. M., Inzé, D., </w:t>
      </w:r>
      <w:r w:rsidR="00D2595E" w:rsidRPr="002F5487">
        <w:rPr>
          <w:noProof/>
        </w:rPr>
        <w:t>2004. Plant cell factories in the post-genomic era: new ways to produce designer secondary metabolites. Trends Plant Sci. 9, 433-440.</w:t>
      </w:r>
      <w:bookmarkStart w:id="23" w:name="_ENREF_409"/>
      <w:bookmarkEnd w:id="10"/>
      <w:r w:rsidR="00053C86" w:rsidRPr="002F5487">
        <w:t xml:space="preserve"> </w:t>
      </w:r>
      <w:hyperlink r:id="rId35" w:tgtFrame="_blank" w:tooltip="Persistent link using digital object identifier" w:history="1">
        <w:r w:rsidR="00053C86" w:rsidRPr="002F5487">
          <w:rPr>
            <w:rStyle w:val="Hyperlink"/>
            <w:color w:val="auto"/>
            <w:u w:val="none"/>
          </w:rPr>
          <w:t>doi.org/10.1016/j.tplants.2004.07.006</w:t>
        </w:r>
      </w:hyperlink>
    </w:p>
    <w:p w:rsidR="00D2595E" w:rsidRPr="002F5487" w:rsidRDefault="00D2595E" w:rsidP="00D2595E">
      <w:pPr>
        <w:spacing w:line="480" w:lineRule="auto"/>
        <w:ind w:left="720" w:hangingChars="300" w:hanging="720"/>
        <w:rPr>
          <w:noProof/>
        </w:rPr>
      </w:pPr>
      <w:bookmarkStart w:id="24" w:name="_ENREF_261"/>
      <w:r w:rsidRPr="002F5487">
        <w:rPr>
          <w:noProof/>
        </w:rPr>
        <w:t>Oliver, S. L., Lenards, A. J., Bart</w:t>
      </w:r>
      <w:r w:rsidR="009D4233" w:rsidRPr="002F5487">
        <w:rPr>
          <w:noProof/>
        </w:rPr>
        <w:t xml:space="preserve">helson, R. A., Merchant, N., Mckay, S. J., </w:t>
      </w:r>
      <w:r w:rsidRPr="002F5487">
        <w:rPr>
          <w:noProof/>
        </w:rPr>
        <w:t>2013. Using the iPlant collaborative discovery environment. Curr. Protoc. Bioinform. 1.22. 1-1.22. 26.</w:t>
      </w:r>
      <w:bookmarkEnd w:id="24"/>
      <w:r w:rsidR="00893DC0" w:rsidRPr="002F5487">
        <w:t xml:space="preserve"> </w:t>
      </w:r>
      <w:r w:rsidR="00893DC0" w:rsidRPr="002F5487">
        <w:rPr>
          <w:noProof/>
        </w:rPr>
        <w:t>doi/abs/10.1002/0471250953.bi0122s42</w:t>
      </w:r>
    </w:p>
    <w:p w:rsidR="00D2595E" w:rsidRPr="002F5487" w:rsidRDefault="00D2595E" w:rsidP="00D2595E">
      <w:pPr>
        <w:spacing w:line="480" w:lineRule="auto"/>
        <w:ind w:left="720" w:hanging="720"/>
        <w:rPr>
          <w:noProof/>
        </w:rPr>
      </w:pPr>
      <w:bookmarkStart w:id="25" w:name="_ENREF_264"/>
      <w:r w:rsidRPr="002F5487">
        <w:rPr>
          <w:noProof/>
        </w:rPr>
        <w:t>Osorio, E. J., Berkov, S., Brun, R., Codina, C., Viladomat, F.,</w:t>
      </w:r>
      <w:r w:rsidR="009D4233" w:rsidRPr="002F5487">
        <w:rPr>
          <w:noProof/>
        </w:rPr>
        <w:t xml:space="preserve"> Cabezas, F., </w:t>
      </w:r>
      <w:r w:rsidR="00B54187" w:rsidRPr="002F5487">
        <w:rPr>
          <w:noProof/>
        </w:rPr>
        <w:t xml:space="preserve">Bastida, J., </w:t>
      </w:r>
      <w:r w:rsidRPr="002F5487">
        <w:rPr>
          <w:noProof/>
        </w:rPr>
        <w:t>2010. In vitro antiprotozoal activity of alkaloids from Phaedranassa dubia (Amaryllidaceae). Phytochem. Let. 3, 161-163.</w:t>
      </w:r>
      <w:bookmarkEnd w:id="25"/>
      <w:r w:rsidR="008C441C" w:rsidRPr="002F5487">
        <w:t xml:space="preserve"> </w:t>
      </w:r>
      <w:hyperlink r:id="rId36" w:tgtFrame="_blank" w:tooltip="Persistent link using digital object identifier" w:history="1">
        <w:r w:rsidR="008C441C" w:rsidRPr="002F5487">
          <w:rPr>
            <w:rStyle w:val="Hyperlink"/>
            <w:color w:val="auto"/>
            <w:u w:val="none"/>
          </w:rPr>
          <w:t>doi.org/10.1016/j.phytol.2010.06.004</w:t>
        </w:r>
      </w:hyperlink>
    </w:p>
    <w:p w:rsidR="00D2595E" w:rsidRPr="002F5487" w:rsidRDefault="00D2595E" w:rsidP="00D2595E">
      <w:pPr>
        <w:spacing w:line="480" w:lineRule="auto"/>
        <w:ind w:left="720" w:hanging="720"/>
        <w:rPr>
          <w:noProof/>
        </w:rPr>
      </w:pPr>
      <w:bookmarkStart w:id="26" w:name="_ENREF_271"/>
      <w:r w:rsidRPr="002F5487">
        <w:rPr>
          <w:shd w:val="clear" w:color="auto" w:fill="FFFFFF"/>
        </w:rPr>
        <w:t xml:space="preserve">Park, C. H., Yeo, H. J., Park, Y. E., </w:t>
      </w:r>
      <w:proofErr w:type="spellStart"/>
      <w:r w:rsidRPr="002F5487">
        <w:rPr>
          <w:shd w:val="clear" w:color="auto" w:fill="FFFFFF"/>
        </w:rPr>
        <w:t>Baek</w:t>
      </w:r>
      <w:proofErr w:type="spellEnd"/>
      <w:r w:rsidRPr="002F5487">
        <w:rPr>
          <w:shd w:val="clear" w:color="auto" w:fill="FFFFFF"/>
        </w:rPr>
        <w:t xml:space="preserve">, S. A., </w:t>
      </w:r>
      <w:r w:rsidR="00B54187" w:rsidRPr="002F5487">
        <w:rPr>
          <w:shd w:val="clear" w:color="auto" w:fill="FFFFFF"/>
        </w:rPr>
        <w:t>Kim, J. K., Park, S. U., 2019</w:t>
      </w:r>
      <w:r w:rsidRPr="002F5487">
        <w:rPr>
          <w:shd w:val="clear" w:color="auto" w:fill="FFFFFF"/>
        </w:rPr>
        <w:t xml:space="preserve">. </w:t>
      </w:r>
      <w:proofErr w:type="gramStart"/>
      <w:r w:rsidRPr="002F5487">
        <w:rPr>
          <w:shd w:val="clear" w:color="auto" w:fill="FFFFFF"/>
        </w:rPr>
        <w:t xml:space="preserve">Transcriptome analysis and metabolic profiling of </w:t>
      </w:r>
      <w:r w:rsidRPr="002F5487">
        <w:rPr>
          <w:i/>
          <w:shd w:val="clear" w:color="auto" w:fill="FFFFFF"/>
        </w:rPr>
        <w:t>Lycoris radiata</w:t>
      </w:r>
      <w:r w:rsidRPr="002F5487">
        <w:rPr>
          <w:shd w:val="clear" w:color="auto" w:fill="FFFFFF"/>
        </w:rPr>
        <w:t>.</w:t>
      </w:r>
      <w:proofErr w:type="gramEnd"/>
      <w:r w:rsidRPr="002F5487">
        <w:rPr>
          <w:shd w:val="clear" w:color="auto" w:fill="FFFFFF"/>
        </w:rPr>
        <w:t> </w:t>
      </w:r>
      <w:proofErr w:type="gramStart"/>
      <w:r w:rsidRPr="002F5487">
        <w:rPr>
          <w:iCs/>
          <w:shd w:val="clear" w:color="auto" w:fill="FFFFFF"/>
        </w:rPr>
        <w:t>Biology</w:t>
      </w:r>
      <w:r w:rsidRPr="002F5487">
        <w:rPr>
          <w:shd w:val="clear" w:color="auto" w:fill="FFFFFF"/>
        </w:rPr>
        <w:t>, </w:t>
      </w:r>
      <w:r w:rsidRPr="002F5487">
        <w:rPr>
          <w:iCs/>
          <w:shd w:val="clear" w:color="auto" w:fill="FFFFFF"/>
        </w:rPr>
        <w:t>8</w:t>
      </w:r>
      <w:r w:rsidRPr="002F5487">
        <w:rPr>
          <w:shd w:val="clear" w:color="auto" w:fill="FFFFFF"/>
        </w:rPr>
        <w:t>(3), 63.</w:t>
      </w:r>
      <w:proofErr w:type="gramEnd"/>
      <w:r w:rsidR="00B54187" w:rsidRPr="002F5487">
        <w:rPr>
          <w:shd w:val="clear" w:color="auto" w:fill="FFFFFF"/>
        </w:rPr>
        <w:t xml:space="preserve"> </w:t>
      </w:r>
      <w:r w:rsidR="008C441C" w:rsidRPr="002F5487">
        <w:t xml:space="preserve"> </w:t>
      </w:r>
      <w:hyperlink r:id="rId37" w:history="1">
        <w:r w:rsidR="008C441C" w:rsidRPr="002F5487">
          <w:rPr>
            <w:rStyle w:val="Hyperlink"/>
            <w:bCs/>
            <w:color w:val="auto"/>
            <w:u w:val="none"/>
            <w:shd w:val="clear" w:color="auto" w:fill="FFFFFF"/>
          </w:rPr>
          <w:t>doi.org/10.3390/biology8030063</w:t>
        </w:r>
      </w:hyperlink>
    </w:p>
    <w:bookmarkEnd w:id="26"/>
    <w:p w:rsidR="00D2595E" w:rsidRPr="002F5487" w:rsidRDefault="00B54187" w:rsidP="00D2595E">
      <w:pPr>
        <w:autoSpaceDE w:val="0"/>
        <w:autoSpaceDN w:val="0"/>
        <w:adjustRightInd w:val="0"/>
        <w:spacing w:line="480" w:lineRule="auto"/>
        <w:ind w:left="720" w:hanging="720"/>
        <w:rPr>
          <w:bCs/>
        </w:rPr>
      </w:pPr>
      <w:r w:rsidRPr="002F5487">
        <w:rPr>
          <w:bCs/>
        </w:rPr>
        <w:lastRenderedPageBreak/>
        <w:t xml:space="preserve">Pulman, J., </w:t>
      </w:r>
      <w:r w:rsidR="00D2595E" w:rsidRPr="002F5487">
        <w:rPr>
          <w:bCs/>
        </w:rPr>
        <w:t xml:space="preserve">2015. A transcriptomics approach to understanding polymorphic and transcript level differences linked to isoquinoline alkaloid production in triploid varieties of </w:t>
      </w:r>
      <w:r w:rsidR="00D2595E" w:rsidRPr="002F5487">
        <w:rPr>
          <w:bCs/>
          <w:i/>
        </w:rPr>
        <w:t>Narcissus pseudonarcissus</w:t>
      </w:r>
      <w:r w:rsidR="00D2595E" w:rsidRPr="002F5487">
        <w:rPr>
          <w:bCs/>
        </w:rPr>
        <w:t xml:space="preserve">. </w:t>
      </w:r>
      <w:proofErr w:type="gramStart"/>
      <w:r w:rsidR="00D2595E" w:rsidRPr="002F5487">
        <w:rPr>
          <w:bCs/>
        </w:rPr>
        <w:t>PhD Thesis.</w:t>
      </w:r>
      <w:proofErr w:type="gramEnd"/>
      <w:r w:rsidR="00D2595E" w:rsidRPr="002F5487">
        <w:rPr>
          <w:bCs/>
        </w:rPr>
        <w:t xml:space="preserve"> </w:t>
      </w:r>
      <w:proofErr w:type="gramStart"/>
      <w:r w:rsidR="00D2595E" w:rsidRPr="002F5487">
        <w:rPr>
          <w:bCs/>
        </w:rPr>
        <w:t>University of Liverpool.</w:t>
      </w:r>
      <w:proofErr w:type="gramEnd"/>
    </w:p>
    <w:p w:rsidR="00D2595E" w:rsidRPr="002F5487" w:rsidRDefault="00D2595E" w:rsidP="00D2595E">
      <w:pPr>
        <w:autoSpaceDE w:val="0"/>
        <w:autoSpaceDN w:val="0"/>
        <w:adjustRightInd w:val="0"/>
        <w:spacing w:line="480" w:lineRule="auto"/>
        <w:ind w:left="720" w:hangingChars="300" w:hanging="720"/>
        <w:rPr>
          <w:shd w:val="clear" w:color="auto" w:fill="FFFFFF"/>
        </w:rPr>
      </w:pPr>
      <w:r w:rsidRPr="002F5487">
        <w:rPr>
          <w:shd w:val="clear" w:color="auto" w:fill="FFFFFF"/>
        </w:rPr>
        <w:t>Romero,</w:t>
      </w:r>
      <w:r w:rsidR="00B54187" w:rsidRPr="002F5487">
        <w:rPr>
          <w:shd w:val="clear" w:color="auto" w:fill="FFFFFF"/>
        </w:rPr>
        <w:t xml:space="preserve"> I.G., </w:t>
      </w:r>
      <w:proofErr w:type="spellStart"/>
      <w:r w:rsidR="00B54187" w:rsidRPr="002F5487">
        <w:rPr>
          <w:shd w:val="clear" w:color="auto" w:fill="FFFFFF"/>
        </w:rPr>
        <w:t>Pai</w:t>
      </w:r>
      <w:proofErr w:type="spellEnd"/>
      <w:r w:rsidR="00B54187" w:rsidRPr="002F5487">
        <w:rPr>
          <w:shd w:val="clear" w:color="auto" w:fill="FFFFFF"/>
        </w:rPr>
        <w:t xml:space="preserve">, A.A., Tung, J., </w:t>
      </w:r>
      <w:proofErr w:type="spellStart"/>
      <w:r w:rsidR="00B54187" w:rsidRPr="002F5487">
        <w:rPr>
          <w:shd w:val="clear" w:color="auto" w:fill="FFFFFF"/>
        </w:rPr>
        <w:t>Gilad</w:t>
      </w:r>
      <w:proofErr w:type="spellEnd"/>
      <w:r w:rsidR="00B54187" w:rsidRPr="002F5487">
        <w:rPr>
          <w:shd w:val="clear" w:color="auto" w:fill="FFFFFF"/>
        </w:rPr>
        <w:t>, Y., 2014</w:t>
      </w:r>
      <w:r w:rsidRPr="002F5487">
        <w:rPr>
          <w:shd w:val="clear" w:color="auto" w:fill="FFFFFF"/>
        </w:rPr>
        <w:t>. RNA-seq: impact of RNA degradation on transcript quantification. </w:t>
      </w:r>
      <w:proofErr w:type="gramStart"/>
      <w:r w:rsidRPr="002F5487">
        <w:rPr>
          <w:iCs/>
          <w:shd w:val="clear" w:color="auto" w:fill="FFFFFF"/>
        </w:rPr>
        <w:t>BMC Biol</w:t>
      </w:r>
      <w:r w:rsidRPr="002F5487">
        <w:rPr>
          <w:shd w:val="clear" w:color="auto" w:fill="FFFFFF"/>
        </w:rPr>
        <w:t xml:space="preserve">. </w:t>
      </w:r>
      <w:r w:rsidRPr="002F5487">
        <w:rPr>
          <w:iCs/>
          <w:shd w:val="clear" w:color="auto" w:fill="FFFFFF"/>
        </w:rPr>
        <w:t>12</w:t>
      </w:r>
      <w:r w:rsidRPr="002F5487">
        <w:rPr>
          <w:shd w:val="clear" w:color="auto" w:fill="FFFFFF"/>
        </w:rPr>
        <w:t>(1), pp.1-13.</w:t>
      </w:r>
      <w:proofErr w:type="gramEnd"/>
      <w:r w:rsidRPr="002F5487">
        <w:rPr>
          <w:shd w:val="clear" w:color="auto" w:fill="FFFFFF"/>
        </w:rPr>
        <w:t xml:space="preserve"> </w:t>
      </w:r>
      <w:hyperlink r:id="rId38" w:history="1">
        <w:r w:rsidRPr="002F5487">
          <w:rPr>
            <w:rStyle w:val="Hyperlink"/>
            <w:color w:val="auto"/>
            <w:u w:val="none"/>
            <w:shd w:val="clear" w:color="auto" w:fill="FFFFFF"/>
          </w:rPr>
          <w:t>https://doi.org/10.1186/1741-7007-12-42</w:t>
        </w:r>
      </w:hyperlink>
      <w:bookmarkEnd w:id="23"/>
    </w:p>
    <w:p w:rsidR="00D2595E" w:rsidRPr="002F5487" w:rsidRDefault="00D2595E" w:rsidP="00D2595E">
      <w:pPr>
        <w:spacing w:line="480" w:lineRule="auto"/>
        <w:ind w:left="720" w:hanging="720"/>
        <w:rPr>
          <w:noProof/>
        </w:rPr>
      </w:pPr>
      <w:bookmarkStart w:id="27" w:name="_ENREF_321"/>
      <w:r w:rsidRPr="002F5487">
        <w:rPr>
          <w:noProof/>
        </w:rPr>
        <w:t>Seng</w:t>
      </w:r>
      <w:r w:rsidR="00B54187" w:rsidRPr="002F5487">
        <w:rPr>
          <w:noProof/>
        </w:rPr>
        <w:t>upta, D., Naik, D.,</w:t>
      </w:r>
      <w:r w:rsidRPr="002F5487">
        <w:rPr>
          <w:noProof/>
        </w:rPr>
        <w:t xml:space="preserve"> </w:t>
      </w:r>
      <w:r w:rsidR="00B54187" w:rsidRPr="002F5487">
        <w:rPr>
          <w:noProof/>
        </w:rPr>
        <w:t xml:space="preserve">Reddy, A. R., </w:t>
      </w:r>
      <w:r w:rsidRPr="002F5487">
        <w:rPr>
          <w:noProof/>
        </w:rPr>
        <w:t>2015. Plant aldo-keto reductases (AKRs) as multi-tasking soldiers involved in diverse plant metabolic processes and stress defence: A structure-function update. J. Plant Physiol. 179, 40-55.</w:t>
      </w:r>
      <w:bookmarkEnd w:id="27"/>
      <w:r w:rsidR="008C441C" w:rsidRPr="002F5487">
        <w:t xml:space="preserve"> </w:t>
      </w:r>
      <w:hyperlink r:id="rId39" w:tgtFrame="_blank" w:tooltip="Persistent link using digital object identifier" w:history="1">
        <w:r w:rsidR="008C441C" w:rsidRPr="002F5487">
          <w:rPr>
            <w:rStyle w:val="Hyperlink"/>
            <w:color w:val="auto"/>
            <w:u w:val="none"/>
          </w:rPr>
          <w:t>doi.org/10.1016/j.jplph.2015.03.004</w:t>
        </w:r>
      </w:hyperlink>
    </w:p>
    <w:p w:rsidR="00D2595E" w:rsidRPr="002F5487" w:rsidRDefault="00B54187" w:rsidP="00D2595E">
      <w:pPr>
        <w:spacing w:line="480" w:lineRule="auto"/>
        <w:ind w:left="720" w:hanging="720"/>
        <w:rPr>
          <w:noProof/>
        </w:rPr>
      </w:pPr>
      <w:bookmarkStart w:id="28" w:name="_ENREF_329"/>
      <w:r w:rsidRPr="002F5487">
        <w:rPr>
          <w:noProof/>
        </w:rPr>
        <w:t xml:space="preserve">Singh, A., Desgagné-Penix, I., </w:t>
      </w:r>
      <w:r w:rsidR="00D2595E" w:rsidRPr="002F5487">
        <w:rPr>
          <w:noProof/>
        </w:rPr>
        <w:t>2014. Biosynthesis of the Amaryllidaceae alkaloids. Plant Sci. Today. 1, 114-120.</w:t>
      </w:r>
      <w:bookmarkEnd w:id="28"/>
      <w:r w:rsidR="008C441C" w:rsidRPr="002F5487">
        <w:t xml:space="preserve"> </w:t>
      </w:r>
      <w:hyperlink r:id="rId40" w:history="1">
        <w:r w:rsidR="008C441C" w:rsidRPr="002F5487">
          <w:rPr>
            <w:rStyle w:val="Hyperlink"/>
            <w:color w:val="auto"/>
            <w:u w:val="none"/>
            <w:shd w:val="clear" w:color="auto" w:fill="FFFFFF"/>
          </w:rPr>
          <w:t>doi.org/10.14719/pst.2014.1.3.41</w:t>
        </w:r>
      </w:hyperlink>
    </w:p>
    <w:p w:rsidR="00D2595E" w:rsidRPr="002F5487" w:rsidRDefault="00B54187" w:rsidP="00D2595E">
      <w:pPr>
        <w:spacing w:line="480" w:lineRule="auto"/>
        <w:ind w:left="720" w:hanging="720"/>
        <w:rPr>
          <w:shd w:val="clear" w:color="auto" w:fill="FFFFFF"/>
        </w:rPr>
      </w:pPr>
      <w:r w:rsidRPr="002F5487">
        <w:rPr>
          <w:shd w:val="clear" w:color="auto" w:fill="FFFFFF"/>
        </w:rPr>
        <w:t>Singh, A., Desgagné-Penix, I., 2017</w:t>
      </w:r>
      <w:r w:rsidR="00D2595E" w:rsidRPr="002F5487">
        <w:rPr>
          <w:shd w:val="clear" w:color="auto" w:fill="FFFFFF"/>
        </w:rPr>
        <w:t xml:space="preserve">. Transcriptome and metabolome profiling of </w:t>
      </w:r>
      <w:r w:rsidR="00D2595E" w:rsidRPr="002F5487">
        <w:rPr>
          <w:i/>
          <w:shd w:val="clear" w:color="auto" w:fill="FFFFFF"/>
        </w:rPr>
        <w:t>Narcissus</w:t>
      </w:r>
      <w:r w:rsidR="00D2595E" w:rsidRPr="002F5487">
        <w:rPr>
          <w:shd w:val="clear" w:color="auto" w:fill="FFFFFF"/>
        </w:rPr>
        <w:t xml:space="preserve"> </w:t>
      </w:r>
      <w:r w:rsidR="00D2595E" w:rsidRPr="002F5487">
        <w:rPr>
          <w:i/>
          <w:shd w:val="clear" w:color="auto" w:fill="FFFFFF"/>
        </w:rPr>
        <w:t>pseudonarcissus</w:t>
      </w:r>
      <w:r w:rsidR="00D2595E" w:rsidRPr="002F5487">
        <w:rPr>
          <w:shd w:val="clear" w:color="auto" w:fill="FFFFFF"/>
        </w:rPr>
        <w:t xml:space="preserve"> ‘King Alfred’</w:t>
      </w:r>
      <w:r w:rsidRPr="002F5487">
        <w:rPr>
          <w:shd w:val="clear" w:color="auto" w:fill="FFFFFF"/>
        </w:rPr>
        <w:t xml:space="preserve"> </w:t>
      </w:r>
      <w:r w:rsidR="00D2595E" w:rsidRPr="002F5487">
        <w:rPr>
          <w:shd w:val="clear" w:color="auto" w:fill="FFFFFF"/>
        </w:rPr>
        <w:t>reveal components of Amaryllidaceae alkaloid metabolism. </w:t>
      </w:r>
      <w:r w:rsidR="00D2595E" w:rsidRPr="002F5487">
        <w:rPr>
          <w:iCs/>
          <w:shd w:val="clear" w:color="auto" w:fill="FFFFFF"/>
        </w:rPr>
        <w:t>Sci. Reps.</w:t>
      </w:r>
      <w:r w:rsidR="00D2595E" w:rsidRPr="002F5487">
        <w:rPr>
          <w:shd w:val="clear" w:color="auto" w:fill="FFFFFF"/>
        </w:rPr>
        <w:t> </w:t>
      </w:r>
      <w:r w:rsidR="00D2595E" w:rsidRPr="002F5487">
        <w:rPr>
          <w:i/>
          <w:iCs/>
          <w:shd w:val="clear" w:color="auto" w:fill="FFFFFF"/>
        </w:rPr>
        <w:t>7</w:t>
      </w:r>
      <w:r w:rsidR="00D2595E" w:rsidRPr="002F5487">
        <w:rPr>
          <w:shd w:val="clear" w:color="auto" w:fill="FFFFFF"/>
        </w:rPr>
        <w:t>(1), 1-14.</w:t>
      </w:r>
      <w:r w:rsidR="008C441C" w:rsidRPr="002F5487">
        <w:t xml:space="preserve"> </w:t>
      </w:r>
      <w:hyperlink r:id="rId41" w:history="1">
        <w:r w:rsidR="008C441C" w:rsidRPr="002F5487">
          <w:rPr>
            <w:rStyle w:val="Hyperlink"/>
            <w:color w:val="auto"/>
            <w:u w:val="none"/>
            <w:shd w:val="clear" w:color="auto" w:fill="FFFFFF"/>
          </w:rPr>
          <w:t>doi.org/10.1038/s41598-017-17724-0</w:t>
        </w:r>
      </w:hyperlink>
    </w:p>
    <w:p w:rsidR="00D2595E" w:rsidRPr="002F5487" w:rsidRDefault="00D2595E" w:rsidP="00D2595E">
      <w:pPr>
        <w:spacing w:line="480" w:lineRule="auto"/>
        <w:ind w:left="720" w:hanging="720"/>
        <w:rPr>
          <w:noProof/>
        </w:rPr>
      </w:pPr>
      <w:r w:rsidRPr="002F5487">
        <w:rPr>
          <w:noProof/>
        </w:rPr>
        <w:t>S</w:t>
      </w:r>
      <w:r w:rsidR="00B54187" w:rsidRPr="002F5487">
        <w:rPr>
          <w:noProof/>
        </w:rPr>
        <w:t xml:space="preserve">trickler, S., Bombarely, A., Mueller, L., </w:t>
      </w:r>
      <w:r w:rsidRPr="002F5487">
        <w:rPr>
          <w:noProof/>
        </w:rPr>
        <w:t xml:space="preserve">2012. Designing a transcriptome next-generation sequencing project for a nonmodel plant species. American J. Bot. </w:t>
      </w:r>
      <w:r w:rsidRPr="002F5487">
        <w:t>99(2): 257–266</w:t>
      </w:r>
      <w:r w:rsidRPr="002F5487">
        <w:rPr>
          <w:noProof/>
        </w:rPr>
        <w:t>.</w:t>
      </w:r>
      <w:r w:rsidR="008C441C" w:rsidRPr="002F5487">
        <w:t xml:space="preserve"> </w:t>
      </w:r>
      <w:hyperlink r:id="rId42" w:history="1">
        <w:r w:rsidR="008C441C" w:rsidRPr="002F5487">
          <w:rPr>
            <w:rStyle w:val="Hyperlink"/>
            <w:bCs/>
            <w:color w:val="auto"/>
            <w:u w:val="none"/>
            <w:shd w:val="clear" w:color="auto" w:fill="FFFFFF"/>
          </w:rPr>
          <w:t>doi.org/10.3732/ajb.1100292</w:t>
        </w:r>
      </w:hyperlink>
    </w:p>
    <w:p w:rsidR="00D2595E" w:rsidRPr="002F5487" w:rsidRDefault="00D2595E" w:rsidP="00D2595E">
      <w:pPr>
        <w:spacing w:line="480" w:lineRule="auto"/>
        <w:ind w:left="720" w:hanging="720"/>
        <w:rPr>
          <w:noProof/>
        </w:rPr>
      </w:pPr>
      <w:bookmarkStart w:id="29" w:name="_ENREF_352"/>
      <w:bookmarkStart w:id="30" w:name="_ENREF_353"/>
      <w:r w:rsidRPr="002F5487">
        <w:rPr>
          <w:noProof/>
        </w:rPr>
        <w:t>Tahchy, A. E., Boisbrun, M., Ptak, A., Dupire, F., Chrétien, F</w:t>
      </w:r>
      <w:r w:rsidR="00B54187" w:rsidRPr="002F5487">
        <w:rPr>
          <w:noProof/>
        </w:rPr>
        <w:t xml:space="preserve">., Henry, M., Chapleur, Y., Laurain-Mattar, D., </w:t>
      </w:r>
      <w:r w:rsidRPr="002F5487">
        <w:rPr>
          <w:noProof/>
        </w:rPr>
        <w:t>2010. New method for the study of Amaryllidaceae alkaloid biosynthesis using biotransformation of deuterium-labeled precursor in tissue cultures. Acta</w:t>
      </w:r>
      <w:r w:rsidR="00B54187" w:rsidRPr="002F5487">
        <w:rPr>
          <w:noProof/>
        </w:rPr>
        <w:t>.</w:t>
      </w:r>
      <w:r w:rsidRPr="002F5487">
        <w:rPr>
          <w:noProof/>
        </w:rPr>
        <w:t xml:space="preserve"> Biochimica</w:t>
      </w:r>
      <w:r w:rsidR="00B54187" w:rsidRPr="002F5487">
        <w:rPr>
          <w:noProof/>
        </w:rPr>
        <w:t>.</w:t>
      </w:r>
      <w:r w:rsidRPr="002F5487">
        <w:rPr>
          <w:noProof/>
        </w:rPr>
        <w:t xml:space="preserve"> Polonica. 57, 75-82.</w:t>
      </w:r>
      <w:bookmarkEnd w:id="29"/>
      <w:r w:rsidR="008C441C" w:rsidRPr="002F5487">
        <w:rPr>
          <w:rFonts w:ascii="Segoe UI" w:hAnsi="Segoe UI" w:cs="Segoe UI"/>
          <w:b/>
          <w:bCs/>
          <w:sz w:val="20"/>
          <w:szCs w:val="20"/>
          <w:shd w:val="clear" w:color="auto" w:fill="FFFFFF"/>
        </w:rPr>
        <w:t xml:space="preserve"> </w:t>
      </w:r>
      <w:hyperlink r:id="rId43" w:history="1">
        <w:r w:rsidR="008C441C" w:rsidRPr="002F5487">
          <w:rPr>
            <w:rStyle w:val="Hyperlink"/>
            <w:color w:val="auto"/>
            <w:u w:val="none"/>
          </w:rPr>
          <w:t>doi.org/10.18388/abp.2010_2375</w:t>
        </w:r>
      </w:hyperlink>
    </w:p>
    <w:p w:rsidR="00D2595E" w:rsidRPr="002F5487" w:rsidRDefault="00D2595E" w:rsidP="00D2595E">
      <w:pPr>
        <w:spacing w:line="480" w:lineRule="auto"/>
        <w:ind w:left="720" w:hanging="720"/>
        <w:rPr>
          <w:noProof/>
        </w:rPr>
      </w:pPr>
      <w:r w:rsidRPr="002F5487">
        <w:rPr>
          <w:noProof/>
        </w:rPr>
        <w:t>Tahchy, A. E., Bordage, S., Ptak, A., Dupire, F., Barre, E., Guillou, C</w:t>
      </w:r>
      <w:r w:rsidR="00C1097C" w:rsidRPr="002F5487">
        <w:rPr>
          <w:noProof/>
        </w:rPr>
        <w:t>., Henry, M., Chapleur, Y., Laurain-Mattar, D., 2011</w:t>
      </w:r>
      <w:r w:rsidRPr="002F5487">
        <w:rPr>
          <w:noProof/>
        </w:rPr>
        <w:t>. Effects of sucrose and plant growth regulators on acetylcholinesterase inhibitory activity of alkaloids accumulated in shoot cultures of Amaryllidaceae. PCTOC. 106, 381-390.</w:t>
      </w:r>
      <w:r w:rsidR="008C441C" w:rsidRPr="002F5487">
        <w:t xml:space="preserve"> </w:t>
      </w:r>
      <w:hyperlink r:id="rId44" w:history="1">
        <w:r w:rsidR="008C441C" w:rsidRPr="002F5487">
          <w:rPr>
            <w:rStyle w:val="Hyperlink"/>
            <w:color w:val="auto"/>
            <w:u w:val="none"/>
            <w:shd w:val="clear" w:color="auto" w:fill="FCFCFC"/>
          </w:rPr>
          <w:t>doi.org/10.1007/s11240-011-9933-7</w:t>
        </w:r>
      </w:hyperlink>
    </w:p>
    <w:p w:rsidR="00D2595E" w:rsidRPr="002F5487" w:rsidRDefault="00C1097C" w:rsidP="00D2595E">
      <w:pPr>
        <w:spacing w:line="480" w:lineRule="auto"/>
        <w:ind w:left="720" w:hanging="720"/>
        <w:rPr>
          <w:noProof/>
        </w:rPr>
      </w:pPr>
      <w:r w:rsidRPr="002F5487">
        <w:rPr>
          <w:noProof/>
        </w:rPr>
        <w:lastRenderedPageBreak/>
        <w:t xml:space="preserve">Takos, A. M., Rook, F., </w:t>
      </w:r>
      <w:r w:rsidR="00D2595E" w:rsidRPr="002F5487">
        <w:rPr>
          <w:noProof/>
        </w:rPr>
        <w:t>2013. Towards a molecular understanding of the biosynthesis of amaryllidaceae alkaloids in support of their expanding medical use. Int. J. Mol. Sci. 14, 11713-11741.</w:t>
      </w:r>
      <w:bookmarkEnd w:id="30"/>
      <w:r w:rsidR="008C441C" w:rsidRPr="002F5487">
        <w:t xml:space="preserve"> </w:t>
      </w:r>
      <w:hyperlink r:id="rId45" w:history="1">
        <w:r w:rsidR="008C441C" w:rsidRPr="002F5487">
          <w:rPr>
            <w:rStyle w:val="Hyperlink"/>
            <w:bCs/>
            <w:color w:val="auto"/>
            <w:u w:val="none"/>
            <w:shd w:val="clear" w:color="auto" w:fill="FFFFFF"/>
          </w:rPr>
          <w:t>doi.org/10.3390/ijms140611713</w:t>
        </w:r>
      </w:hyperlink>
    </w:p>
    <w:p w:rsidR="00D2595E" w:rsidRPr="002F5487" w:rsidRDefault="00D2595E" w:rsidP="00D2595E">
      <w:pPr>
        <w:spacing w:line="480" w:lineRule="auto"/>
        <w:ind w:left="720" w:hanging="720"/>
        <w:rPr>
          <w:noProof/>
        </w:rPr>
      </w:pPr>
      <w:r w:rsidRPr="002F5487">
        <w:rPr>
          <w:noProof/>
        </w:rPr>
        <w:t>Tello-Ruiz, M. K., Stein, J., Wei, S., Preece, J., Olson, A., Naithani, S., Amarasinghe, V., D</w:t>
      </w:r>
      <w:r w:rsidR="00C1097C" w:rsidRPr="002F5487">
        <w:rPr>
          <w:noProof/>
        </w:rPr>
        <w:t xml:space="preserve">harmawardhana, P., Jiao, Y., Mulvaney, J., </w:t>
      </w:r>
      <w:r w:rsidRPr="002F5487">
        <w:rPr>
          <w:noProof/>
        </w:rPr>
        <w:t>2015. Gramene 2016: comparative plant genomics and pathway resources. Nucleic Acids Res. gkv1179.</w:t>
      </w:r>
      <w:r w:rsidR="00A54D8E" w:rsidRPr="002F5487">
        <w:t xml:space="preserve"> </w:t>
      </w:r>
      <w:hyperlink r:id="rId46" w:history="1">
        <w:r w:rsidR="00A54D8E" w:rsidRPr="002F5487">
          <w:rPr>
            <w:rStyle w:val="Hyperlink"/>
            <w:color w:val="auto"/>
            <w:u w:val="none"/>
            <w:bdr w:val="none" w:sz="0" w:space="0" w:color="auto" w:frame="1"/>
            <w:shd w:val="clear" w:color="auto" w:fill="FFFFFF"/>
          </w:rPr>
          <w:t>doi.org/10.1093/</w:t>
        </w:r>
        <w:proofErr w:type="spellStart"/>
        <w:r w:rsidR="00A54D8E" w:rsidRPr="002F5487">
          <w:rPr>
            <w:rStyle w:val="Hyperlink"/>
            <w:color w:val="auto"/>
            <w:u w:val="none"/>
            <w:bdr w:val="none" w:sz="0" w:space="0" w:color="auto" w:frame="1"/>
            <w:shd w:val="clear" w:color="auto" w:fill="FFFFFF"/>
          </w:rPr>
          <w:t>nar</w:t>
        </w:r>
        <w:proofErr w:type="spellEnd"/>
        <w:r w:rsidR="00A54D8E" w:rsidRPr="002F5487">
          <w:rPr>
            <w:rStyle w:val="Hyperlink"/>
            <w:color w:val="auto"/>
            <w:u w:val="none"/>
            <w:bdr w:val="none" w:sz="0" w:space="0" w:color="auto" w:frame="1"/>
            <w:shd w:val="clear" w:color="auto" w:fill="FFFFFF"/>
          </w:rPr>
          <w:t>/gkv1179</w:t>
        </w:r>
      </w:hyperlink>
    </w:p>
    <w:p w:rsidR="00D2595E" w:rsidRPr="002F5487" w:rsidRDefault="00D2595E" w:rsidP="00D2595E">
      <w:pPr>
        <w:spacing w:line="480" w:lineRule="auto"/>
        <w:ind w:left="720" w:hanging="720"/>
        <w:rPr>
          <w:noProof/>
        </w:rPr>
      </w:pPr>
      <w:bookmarkStart w:id="31" w:name="_ENREF_366"/>
      <w:r w:rsidRPr="002F5487">
        <w:rPr>
          <w:noProof/>
        </w:rPr>
        <w:t xml:space="preserve">Trapnell, C., Pachter, L., </w:t>
      </w:r>
      <w:r w:rsidR="00C1097C" w:rsidRPr="002F5487">
        <w:rPr>
          <w:noProof/>
        </w:rPr>
        <w:t xml:space="preserve">Salzberg, S. L., </w:t>
      </w:r>
      <w:r w:rsidRPr="002F5487">
        <w:rPr>
          <w:noProof/>
        </w:rPr>
        <w:t>2009. TopHat: discovering splice junctions with RNA-Seq. Bioinformatics. 25, 1105-1111.</w:t>
      </w:r>
      <w:bookmarkEnd w:id="31"/>
      <w:r w:rsidR="00A54D8E" w:rsidRPr="002F5487">
        <w:t xml:space="preserve"> </w:t>
      </w:r>
      <w:hyperlink r:id="rId47" w:history="1">
        <w:r w:rsidR="00A54D8E" w:rsidRPr="002F5487">
          <w:rPr>
            <w:rStyle w:val="Hyperlink"/>
            <w:color w:val="auto"/>
            <w:u w:val="none"/>
            <w:bdr w:val="none" w:sz="0" w:space="0" w:color="auto" w:frame="1"/>
            <w:shd w:val="clear" w:color="auto" w:fill="FFFFFF"/>
          </w:rPr>
          <w:t>doi.org/10.1093/bioinformatics/btp120</w:t>
        </w:r>
      </w:hyperlink>
    </w:p>
    <w:p w:rsidR="00D2595E" w:rsidRPr="002F5487" w:rsidRDefault="00D2595E" w:rsidP="00D2595E">
      <w:pPr>
        <w:spacing w:line="480" w:lineRule="auto"/>
        <w:ind w:left="720" w:hanging="720"/>
        <w:rPr>
          <w:noProof/>
        </w:rPr>
      </w:pPr>
      <w:bookmarkStart w:id="32" w:name="_ENREF_368"/>
      <w:r w:rsidRPr="002F5487">
        <w:rPr>
          <w:noProof/>
        </w:rPr>
        <w:t>Trapnell, C., Williams, B. A., Pertea, G., Mortazavi, A., Kwan, G., Van Baren, M. J., S</w:t>
      </w:r>
      <w:r w:rsidR="00C1097C" w:rsidRPr="002F5487">
        <w:rPr>
          <w:noProof/>
        </w:rPr>
        <w:t xml:space="preserve">alzberg, S. L., Wold, B. J., Pachter, L., </w:t>
      </w:r>
      <w:r w:rsidRPr="002F5487">
        <w:rPr>
          <w:noProof/>
        </w:rPr>
        <w:t>2010. Transcript assembly and quantification by RNA-Seq reveals unannotated transcripts and isoform switching during cell differentiation. Nat. Biotech. 28, 511-515.</w:t>
      </w:r>
      <w:bookmarkEnd w:id="32"/>
      <w:r w:rsidR="00A54D8E" w:rsidRPr="002F5487">
        <w:t xml:space="preserve"> </w:t>
      </w:r>
      <w:hyperlink r:id="rId48" w:history="1">
        <w:r w:rsidR="00A54D8E" w:rsidRPr="002F5487">
          <w:rPr>
            <w:rStyle w:val="Hyperlink"/>
            <w:color w:val="auto"/>
            <w:u w:val="none"/>
            <w:shd w:val="clear" w:color="auto" w:fill="FFFFFF"/>
          </w:rPr>
          <w:t>doi.org/10.1038/nbt.1621</w:t>
        </w:r>
      </w:hyperlink>
    </w:p>
    <w:p w:rsidR="00D2595E" w:rsidRPr="002F5487" w:rsidRDefault="00D2595E" w:rsidP="00D2595E">
      <w:pPr>
        <w:spacing w:line="480" w:lineRule="auto"/>
        <w:ind w:left="720" w:hanging="720"/>
        <w:rPr>
          <w:noProof/>
        </w:rPr>
      </w:pPr>
      <w:bookmarkStart w:id="33" w:name="_ENREF_367"/>
      <w:bookmarkStart w:id="34" w:name="_ENREF_359"/>
      <w:r w:rsidRPr="002F5487">
        <w:rPr>
          <w:noProof/>
        </w:rPr>
        <w:t>Trapnell, C., Roberts, A., Goff, L., Pertea, G., Kim, D., Kelley, D. R., Pimentel, H., S</w:t>
      </w:r>
      <w:r w:rsidR="00C1097C" w:rsidRPr="002F5487">
        <w:rPr>
          <w:noProof/>
        </w:rPr>
        <w:t xml:space="preserve">alzberg, S. L., Rinn, J. L., Pachter, L., </w:t>
      </w:r>
      <w:r w:rsidRPr="002F5487">
        <w:rPr>
          <w:noProof/>
        </w:rPr>
        <w:t>2012. Differential gene and transcript expression analysis of RNA-seq experiments with TopHat and Cufflinks. Nat. Protoc. 7, 562-578.</w:t>
      </w:r>
      <w:bookmarkEnd w:id="33"/>
      <w:r w:rsidR="00A54D8E" w:rsidRPr="002F5487">
        <w:t xml:space="preserve"> </w:t>
      </w:r>
      <w:hyperlink r:id="rId49" w:history="1">
        <w:r w:rsidR="00A54D8E" w:rsidRPr="002F5487">
          <w:rPr>
            <w:rStyle w:val="Hyperlink"/>
            <w:color w:val="auto"/>
            <w:u w:val="none"/>
            <w:shd w:val="clear" w:color="auto" w:fill="FFFFFF"/>
          </w:rPr>
          <w:t>doi.org/10.1038/nprot.2012.016</w:t>
        </w:r>
      </w:hyperlink>
    </w:p>
    <w:p w:rsidR="00D2595E" w:rsidRPr="002F5487" w:rsidRDefault="00C1097C" w:rsidP="00D2595E">
      <w:pPr>
        <w:spacing w:line="480" w:lineRule="auto"/>
        <w:ind w:left="720" w:hanging="720"/>
        <w:rPr>
          <w:noProof/>
        </w:rPr>
      </w:pPr>
      <w:bookmarkStart w:id="35" w:name="_ENREF_375"/>
      <w:bookmarkEnd w:id="34"/>
      <w:r w:rsidRPr="002F5487">
        <w:rPr>
          <w:noProof/>
        </w:rPr>
        <w:t xml:space="preserve">Verpoorte, R., Contin, A., Memelink, J., </w:t>
      </w:r>
      <w:r w:rsidR="00D2595E" w:rsidRPr="002F5487">
        <w:rPr>
          <w:noProof/>
        </w:rPr>
        <w:t>2002. Biotechnology for the production of plant secondary metabolites. Phytochem. Rev. 1, 13-25.</w:t>
      </w:r>
      <w:bookmarkEnd w:id="35"/>
      <w:r w:rsidR="00A54D8E" w:rsidRPr="002F5487">
        <w:t xml:space="preserve"> </w:t>
      </w:r>
      <w:hyperlink r:id="rId50" w:history="1">
        <w:r w:rsidR="00A54D8E" w:rsidRPr="002F5487">
          <w:rPr>
            <w:rStyle w:val="Hyperlink"/>
            <w:color w:val="auto"/>
            <w:u w:val="none"/>
            <w:shd w:val="clear" w:color="auto" w:fill="FCFCFC"/>
          </w:rPr>
          <w:t>doi.org/10.1023/A:1015871916833</w:t>
        </w:r>
      </w:hyperlink>
    </w:p>
    <w:p w:rsidR="00D2595E" w:rsidRPr="002F5487" w:rsidRDefault="00D2595E" w:rsidP="00D2595E">
      <w:pPr>
        <w:spacing w:line="480" w:lineRule="auto"/>
        <w:ind w:left="720" w:hanging="720"/>
        <w:rPr>
          <w:noProof/>
        </w:rPr>
      </w:pPr>
      <w:bookmarkStart w:id="36" w:name="_ENREF_377"/>
      <w:r w:rsidRPr="002F5487">
        <w:rPr>
          <w:noProof/>
        </w:rPr>
        <w:t>Vijay, N., Po</w:t>
      </w:r>
      <w:r w:rsidR="00C1097C" w:rsidRPr="002F5487">
        <w:rPr>
          <w:noProof/>
        </w:rPr>
        <w:t xml:space="preserve">elstra, J. W., Künstner, A., Wolf, J. B., </w:t>
      </w:r>
      <w:r w:rsidRPr="002F5487">
        <w:rPr>
          <w:noProof/>
        </w:rPr>
        <w:t>2013. Challenges and strategies in transcriptome assembly and differential gene expression quantification. A comprehensive in silico assessment of RNA‐seq experiments. Mol. Ecol. 22, 620-634</w:t>
      </w:r>
      <w:bookmarkEnd w:id="36"/>
      <w:r w:rsidRPr="002F5487">
        <w:rPr>
          <w:noProof/>
        </w:rPr>
        <w:t>.</w:t>
      </w:r>
      <w:r w:rsidR="00B26EF5" w:rsidRPr="002F5487">
        <w:t xml:space="preserve"> </w:t>
      </w:r>
      <w:hyperlink r:id="rId51" w:history="1">
        <w:r w:rsidR="00B26EF5" w:rsidRPr="002F5487">
          <w:rPr>
            <w:rStyle w:val="Hyperlink"/>
            <w:bCs/>
            <w:color w:val="auto"/>
            <w:u w:val="none"/>
            <w:shd w:val="clear" w:color="auto" w:fill="FFFFFF"/>
          </w:rPr>
          <w:t>doi.org/10.1111/mec.12014</w:t>
        </w:r>
      </w:hyperlink>
    </w:p>
    <w:p w:rsidR="00D2595E" w:rsidRPr="002F5487" w:rsidRDefault="00D2595E" w:rsidP="00D2595E">
      <w:pPr>
        <w:spacing w:line="480" w:lineRule="auto"/>
        <w:ind w:left="720" w:hanging="720"/>
        <w:rPr>
          <w:noProof/>
        </w:rPr>
      </w:pPr>
      <w:bookmarkStart w:id="37" w:name="_ENREF_384"/>
      <w:r w:rsidRPr="002F5487">
        <w:rPr>
          <w:noProof/>
        </w:rPr>
        <w:t>Wang, W., Wang, Y., Zhang, Q., Qi, Y.,</w:t>
      </w:r>
      <w:r w:rsidR="00C1097C" w:rsidRPr="002F5487">
        <w:rPr>
          <w:noProof/>
        </w:rPr>
        <w:t xml:space="preserve"> Guo, D., </w:t>
      </w:r>
      <w:r w:rsidRPr="002F5487">
        <w:rPr>
          <w:noProof/>
        </w:rPr>
        <w:t xml:space="preserve">2009. Global characterization of Artemisia annua glandular trichome transcriptome using 454 pyrosequencing. BMC Genomics. </w:t>
      </w:r>
      <w:proofErr w:type="gramStart"/>
      <w:r w:rsidRPr="002F5487">
        <w:rPr>
          <w:iCs/>
          <w:shd w:val="clear" w:color="auto" w:fill="FFFFFF"/>
        </w:rPr>
        <w:t xml:space="preserve">10 </w:t>
      </w:r>
      <w:r w:rsidRPr="002F5487">
        <w:rPr>
          <w:shd w:val="clear" w:color="auto" w:fill="FFFFFF"/>
        </w:rPr>
        <w:t>(1), p.1</w:t>
      </w:r>
      <w:r w:rsidRPr="002F5487">
        <w:rPr>
          <w:noProof/>
        </w:rPr>
        <w:t>.</w:t>
      </w:r>
      <w:bookmarkStart w:id="38" w:name="_ENREF_343"/>
      <w:proofErr w:type="gramEnd"/>
      <w:r w:rsidR="00B26EF5" w:rsidRPr="002F5487">
        <w:t xml:space="preserve"> </w:t>
      </w:r>
      <w:hyperlink r:id="rId52" w:history="1">
        <w:r w:rsidR="00B26EF5" w:rsidRPr="002F5487">
          <w:rPr>
            <w:rStyle w:val="Hyperlink"/>
            <w:color w:val="auto"/>
            <w:u w:val="none"/>
            <w:shd w:val="clear" w:color="auto" w:fill="FCFCFC"/>
          </w:rPr>
          <w:t>doi.org/10.1186/1471-2164-10-465</w:t>
        </w:r>
      </w:hyperlink>
    </w:p>
    <w:bookmarkEnd w:id="38"/>
    <w:p w:rsidR="00D2595E" w:rsidRPr="002F5487" w:rsidRDefault="00D2595E" w:rsidP="00D2595E">
      <w:pPr>
        <w:spacing w:line="480" w:lineRule="auto"/>
        <w:ind w:left="720" w:hanging="720"/>
        <w:rPr>
          <w:noProof/>
        </w:rPr>
      </w:pPr>
      <w:r w:rsidRPr="002F5487">
        <w:rPr>
          <w:noProof/>
        </w:rPr>
        <w:lastRenderedPageBreak/>
        <w:t xml:space="preserve">Wang, R., Xu, S., Jiang, Y., Jiang, J., Li, X., </w:t>
      </w:r>
      <w:r w:rsidR="00C1097C" w:rsidRPr="002F5487">
        <w:rPr>
          <w:noProof/>
        </w:rPr>
        <w:t xml:space="preserve">Liang, L., He, J., Peng, F., Xia, B., </w:t>
      </w:r>
      <w:r w:rsidRPr="002F5487">
        <w:rPr>
          <w:noProof/>
        </w:rPr>
        <w:t xml:space="preserve">2013. De novo sequence assembly and characterization of </w:t>
      </w:r>
      <w:r w:rsidRPr="002F5487">
        <w:rPr>
          <w:i/>
          <w:noProof/>
        </w:rPr>
        <w:t>Lycoris aurea</w:t>
      </w:r>
      <w:r w:rsidRPr="002F5487">
        <w:rPr>
          <w:noProof/>
        </w:rPr>
        <w:t xml:space="preserve"> transcriptome using GS FLX titanium platform of 454 pyrosequencing. PloS one. 8, e60449.</w:t>
      </w:r>
      <w:bookmarkEnd w:id="37"/>
      <w:r w:rsidR="00B26EF5" w:rsidRPr="002F5487">
        <w:t xml:space="preserve"> </w:t>
      </w:r>
      <w:hyperlink r:id="rId53" w:history="1">
        <w:r w:rsidR="00B26EF5" w:rsidRPr="002F5487">
          <w:rPr>
            <w:rStyle w:val="Hyperlink"/>
            <w:color w:val="auto"/>
            <w:u w:val="none"/>
            <w:shd w:val="clear" w:color="auto" w:fill="FFFFFF"/>
          </w:rPr>
          <w:t>doi.org/10.1371/journal.pone.0060449</w:t>
        </w:r>
      </w:hyperlink>
    </w:p>
    <w:p w:rsidR="00D2595E" w:rsidRPr="002F5487" w:rsidRDefault="00D2595E" w:rsidP="00D2595E">
      <w:pPr>
        <w:spacing w:line="480" w:lineRule="auto"/>
        <w:ind w:left="720" w:hanging="720"/>
        <w:rPr>
          <w:noProof/>
        </w:rPr>
      </w:pPr>
      <w:r w:rsidRPr="002F5487">
        <w:rPr>
          <w:shd w:val="clear" w:color="auto" w:fill="FFFFFF"/>
        </w:rPr>
        <w:t xml:space="preserve">Wang, R., Han, X., </w:t>
      </w:r>
      <w:proofErr w:type="spellStart"/>
      <w:r w:rsidRPr="002F5487">
        <w:rPr>
          <w:shd w:val="clear" w:color="auto" w:fill="FFFFFF"/>
        </w:rPr>
        <w:t>Xu</w:t>
      </w:r>
      <w:proofErr w:type="spellEnd"/>
      <w:r w:rsidRPr="002F5487">
        <w:rPr>
          <w:shd w:val="clear" w:color="auto" w:fill="FFFFFF"/>
        </w:rPr>
        <w:t>, S., Xia, B., Ji</w:t>
      </w:r>
      <w:r w:rsidR="00C1097C" w:rsidRPr="002F5487">
        <w:rPr>
          <w:shd w:val="clear" w:color="auto" w:fill="FFFFFF"/>
        </w:rPr>
        <w:t>ang, Y., Xue, Y., Wang, R., 2019</w:t>
      </w:r>
      <w:r w:rsidRPr="002F5487">
        <w:rPr>
          <w:shd w:val="clear" w:color="auto" w:fill="FFFFFF"/>
        </w:rPr>
        <w:t xml:space="preserve">. Cloning and characterization of a tyrosine decarboxylase involved in the biosynthesis of galanthamine in </w:t>
      </w:r>
      <w:r w:rsidRPr="002F5487">
        <w:rPr>
          <w:i/>
          <w:shd w:val="clear" w:color="auto" w:fill="FFFFFF"/>
        </w:rPr>
        <w:t xml:space="preserve">Lycoris </w:t>
      </w:r>
      <w:proofErr w:type="spellStart"/>
      <w:r w:rsidRPr="002F5487">
        <w:rPr>
          <w:i/>
          <w:shd w:val="clear" w:color="auto" w:fill="FFFFFF"/>
        </w:rPr>
        <w:t>aurea</w:t>
      </w:r>
      <w:proofErr w:type="spellEnd"/>
      <w:r w:rsidRPr="002F5487">
        <w:rPr>
          <w:shd w:val="clear" w:color="auto" w:fill="FFFFFF"/>
        </w:rPr>
        <w:t>. </w:t>
      </w:r>
      <w:r w:rsidRPr="002F5487">
        <w:rPr>
          <w:iCs/>
          <w:shd w:val="clear" w:color="auto" w:fill="FFFFFF"/>
        </w:rPr>
        <w:t>Peer J</w:t>
      </w:r>
      <w:r w:rsidRPr="002F5487">
        <w:rPr>
          <w:shd w:val="clear" w:color="auto" w:fill="FFFFFF"/>
        </w:rPr>
        <w:t xml:space="preserve">. </w:t>
      </w:r>
      <w:r w:rsidRPr="002F5487">
        <w:rPr>
          <w:iCs/>
          <w:shd w:val="clear" w:color="auto" w:fill="FFFFFF"/>
        </w:rPr>
        <w:t>7</w:t>
      </w:r>
      <w:r w:rsidRPr="002F5487">
        <w:rPr>
          <w:shd w:val="clear" w:color="auto" w:fill="FFFFFF"/>
        </w:rPr>
        <w:t>, e6729.</w:t>
      </w:r>
      <w:r w:rsidR="00B26EF5" w:rsidRPr="002F5487">
        <w:rPr>
          <w:rStyle w:val="Heading1Char"/>
          <w:rFonts w:eastAsiaTheme="minorHAnsi"/>
        </w:rPr>
        <w:t xml:space="preserve"> </w:t>
      </w:r>
      <w:hyperlink r:id="rId54" w:history="1">
        <w:r w:rsidR="00B26EF5" w:rsidRPr="002F5487">
          <w:rPr>
            <w:rStyle w:val="Hyperlink"/>
            <w:color w:val="auto"/>
            <w:u w:val="none"/>
          </w:rPr>
          <w:t>doi.org/10.7717/peerj.6729</w:t>
        </w:r>
      </w:hyperlink>
    </w:p>
    <w:p w:rsidR="00D2595E" w:rsidRPr="002F5487" w:rsidRDefault="00C1097C" w:rsidP="00D2595E">
      <w:pPr>
        <w:spacing w:line="480" w:lineRule="auto"/>
        <w:ind w:left="720" w:hanging="720"/>
        <w:rPr>
          <w:noProof/>
        </w:rPr>
      </w:pPr>
      <w:r w:rsidRPr="002F5487">
        <w:rPr>
          <w:noProof/>
        </w:rPr>
        <w:t xml:space="preserve">Ward, J. A., Ponnala, L., Weber, C. A., </w:t>
      </w:r>
      <w:r w:rsidR="00D2595E" w:rsidRPr="002F5487">
        <w:rPr>
          <w:noProof/>
        </w:rPr>
        <w:t>2012. Strategies for transcriptome analysis in nonmodel plants. American J. Bot. 99, 267-276.</w:t>
      </w:r>
      <w:r w:rsidR="00E22345" w:rsidRPr="002F5487">
        <w:t xml:space="preserve"> </w:t>
      </w:r>
      <w:hyperlink r:id="rId55" w:history="1">
        <w:r w:rsidR="00E22345" w:rsidRPr="002F5487">
          <w:rPr>
            <w:rStyle w:val="Hyperlink"/>
            <w:bCs/>
            <w:color w:val="auto"/>
            <w:u w:val="none"/>
            <w:shd w:val="clear" w:color="auto" w:fill="FFFFFF"/>
          </w:rPr>
          <w:t>https://doi.org/10.3732/ajb.1100334</w:t>
        </w:r>
      </w:hyperlink>
    </w:p>
    <w:p w:rsidR="00D2595E" w:rsidRPr="002F5487" w:rsidRDefault="00D2595E" w:rsidP="00D2595E">
      <w:pPr>
        <w:spacing w:line="480" w:lineRule="auto"/>
        <w:ind w:left="720" w:hanging="720"/>
        <w:rPr>
          <w:noProof/>
        </w:rPr>
      </w:pPr>
      <w:bookmarkStart w:id="39" w:name="_ENREF_386"/>
      <w:bookmarkStart w:id="40" w:name="_ENREF_391"/>
      <w:bookmarkStart w:id="41" w:name="_ENREF_385"/>
      <w:r w:rsidRPr="002F5487">
        <w:rPr>
          <w:noProof/>
        </w:rPr>
        <w:t xml:space="preserve">Weber, A. P., Weber, K. </w:t>
      </w:r>
      <w:r w:rsidR="00C1097C" w:rsidRPr="002F5487">
        <w:rPr>
          <w:noProof/>
        </w:rPr>
        <w:t xml:space="preserve">L., Carr, K., Wilkerson, C., Ohlrogge, J. B., </w:t>
      </w:r>
      <w:r w:rsidRPr="002F5487">
        <w:rPr>
          <w:noProof/>
        </w:rPr>
        <w:t>2007. Sampling the Arabidopsis transcriptome with massively parallel pyrosequencing. Plant Physiol. 144, 32-42.</w:t>
      </w:r>
      <w:bookmarkStart w:id="42" w:name="_ENREF_237"/>
      <w:bookmarkEnd w:id="39"/>
      <w:r w:rsidR="00E22345" w:rsidRPr="002F5487">
        <w:rPr>
          <w:rFonts w:ascii="Helvetica" w:hAnsi="Helvetica" w:cs="Helvetica"/>
          <w:sz w:val="18"/>
          <w:szCs w:val="18"/>
          <w:shd w:val="clear" w:color="auto" w:fill="FFFFFF"/>
        </w:rPr>
        <w:t xml:space="preserve"> </w:t>
      </w:r>
      <w:r w:rsidR="00E22345" w:rsidRPr="002F5487">
        <w:rPr>
          <w:shd w:val="clear" w:color="auto" w:fill="FFFFFF"/>
        </w:rPr>
        <w:t>doi.org/10.1104/pp.107.096677</w:t>
      </w:r>
    </w:p>
    <w:bookmarkEnd w:id="42"/>
    <w:p w:rsidR="00D2595E" w:rsidRPr="002F5487" w:rsidRDefault="00C1097C" w:rsidP="00D2595E">
      <w:pPr>
        <w:spacing w:line="480" w:lineRule="auto"/>
        <w:ind w:left="720" w:hanging="720"/>
        <w:rPr>
          <w:noProof/>
        </w:rPr>
      </w:pPr>
      <w:r w:rsidRPr="002F5487">
        <w:rPr>
          <w:noProof/>
        </w:rPr>
        <w:t xml:space="preserve">Wolf, J. B., </w:t>
      </w:r>
      <w:r w:rsidR="00D2595E" w:rsidRPr="002F5487">
        <w:rPr>
          <w:noProof/>
        </w:rPr>
        <w:t>2013. Principles of transcriptome analysis and gene expression quantification: an RNA‐seq tutorial. Mol. Ecol. Res. 13, 559-572.</w:t>
      </w:r>
      <w:bookmarkEnd w:id="40"/>
      <w:r w:rsidR="00E22345" w:rsidRPr="002F5487">
        <w:t xml:space="preserve"> </w:t>
      </w:r>
      <w:hyperlink r:id="rId56" w:history="1">
        <w:r w:rsidR="00E22345" w:rsidRPr="002F5487">
          <w:rPr>
            <w:rStyle w:val="Hyperlink"/>
            <w:bCs/>
            <w:color w:val="auto"/>
            <w:u w:val="none"/>
            <w:shd w:val="clear" w:color="auto" w:fill="FFFFFF"/>
          </w:rPr>
          <w:t>https://doi.org/10.1111/1755-0998.12109</w:t>
        </w:r>
      </w:hyperlink>
    </w:p>
    <w:p w:rsidR="00D2595E" w:rsidRPr="002F5487" w:rsidRDefault="00D2595E" w:rsidP="00D2595E">
      <w:pPr>
        <w:spacing w:line="480" w:lineRule="auto"/>
        <w:ind w:left="720" w:hanging="720"/>
        <w:rPr>
          <w:noProof/>
        </w:rPr>
      </w:pPr>
      <w:bookmarkStart w:id="43" w:name="_ENREF_394"/>
      <w:bookmarkEnd w:id="41"/>
      <w:r w:rsidRPr="002F5487">
        <w:rPr>
          <w:noProof/>
        </w:rPr>
        <w:t>Xiao, M., Zhang, Y., Chen, X., Lee, E. J., Barber, C. J., Chakrabarty, R., Desgagné-Penix, I.</w:t>
      </w:r>
      <w:r w:rsidR="00C1097C" w:rsidRPr="002F5487">
        <w:rPr>
          <w:noProof/>
        </w:rPr>
        <w:t xml:space="preserve">, Haslam, T. M., Kim, Y. B., Liu, E., </w:t>
      </w:r>
      <w:r w:rsidRPr="002F5487">
        <w:rPr>
          <w:noProof/>
        </w:rPr>
        <w:t>2013. Transcriptome analysis based on next-generation sequencing of non-model plants producing specialized metabolites of biotechnological interest. J. Biotech. 166, 122-134.</w:t>
      </w:r>
      <w:bookmarkEnd w:id="43"/>
      <w:r w:rsidR="00E22345" w:rsidRPr="002F5487">
        <w:t xml:space="preserve"> </w:t>
      </w:r>
      <w:hyperlink r:id="rId57" w:tgtFrame="_blank" w:tooltip="Persistent link using digital object identifier" w:history="1">
        <w:r w:rsidR="00E22345" w:rsidRPr="002F5487">
          <w:rPr>
            <w:rStyle w:val="Hyperlink"/>
            <w:color w:val="auto"/>
            <w:u w:val="none"/>
          </w:rPr>
          <w:t>doi.org/10.1016/j.jbiotec.2013.04.004</w:t>
        </w:r>
      </w:hyperlink>
    </w:p>
    <w:p w:rsidR="00D2595E" w:rsidRPr="002F5487" w:rsidRDefault="00D2595E" w:rsidP="00D2595E">
      <w:pPr>
        <w:spacing w:line="480" w:lineRule="auto"/>
        <w:ind w:left="720" w:hanging="720"/>
        <w:rPr>
          <w:noProof/>
        </w:rPr>
      </w:pPr>
      <w:r w:rsidRPr="002F5487">
        <w:rPr>
          <w:noProof/>
        </w:rPr>
        <w:t xml:space="preserve">Zhao, Y. J., Cheng, Q. Q., Su, P., Chen, X., Wang, X. </w:t>
      </w:r>
      <w:r w:rsidR="00C1097C" w:rsidRPr="002F5487">
        <w:rPr>
          <w:noProof/>
        </w:rPr>
        <w:t xml:space="preserve">J., Gao, W., Huang, L. Q., </w:t>
      </w:r>
      <w:r w:rsidRPr="002F5487">
        <w:rPr>
          <w:noProof/>
        </w:rPr>
        <w:t>2014. Research progress relating to the role of cytochrome P450 in the biosynthesis of terpenoids in medicinal plants. Appl. Microbiol. Biotech. 98, 2371-2383.</w:t>
      </w:r>
      <w:r w:rsidR="00E22345" w:rsidRPr="002F5487">
        <w:t xml:space="preserve"> </w:t>
      </w:r>
      <w:hyperlink r:id="rId58" w:history="1">
        <w:r w:rsidR="00E22345" w:rsidRPr="002F5487">
          <w:rPr>
            <w:rStyle w:val="Hyperlink"/>
            <w:color w:val="auto"/>
            <w:u w:val="none"/>
            <w:shd w:val="clear" w:color="auto" w:fill="FCFCFC"/>
          </w:rPr>
          <w:t>doi.org/10.1007/s00253-013-5496-3</w:t>
        </w:r>
      </w:hyperlink>
    </w:p>
    <w:p w:rsidR="00C1097C" w:rsidRPr="002F5487" w:rsidRDefault="00C1097C" w:rsidP="008A75F4">
      <w:pPr>
        <w:spacing w:line="480" w:lineRule="auto"/>
        <w:rPr>
          <w:b/>
          <w:noProof/>
          <w:lang w:val="en-GB"/>
        </w:rPr>
      </w:pPr>
    </w:p>
    <w:p w:rsidR="00C1097C" w:rsidRDefault="00C1097C" w:rsidP="008A75F4">
      <w:pPr>
        <w:spacing w:line="480" w:lineRule="auto"/>
        <w:rPr>
          <w:b/>
          <w:noProof/>
          <w:lang w:val="en-GB"/>
        </w:rPr>
      </w:pPr>
    </w:p>
    <w:p w:rsidR="00C1097C" w:rsidRDefault="00C1097C" w:rsidP="008A75F4">
      <w:pPr>
        <w:spacing w:line="480" w:lineRule="auto"/>
        <w:rPr>
          <w:b/>
          <w:noProof/>
          <w:lang w:val="en-GB"/>
        </w:rPr>
      </w:pPr>
    </w:p>
    <w:p w:rsidR="00C1097C" w:rsidRDefault="00C1097C" w:rsidP="008A75F4">
      <w:pPr>
        <w:spacing w:line="480" w:lineRule="auto"/>
        <w:rPr>
          <w:b/>
          <w:noProof/>
          <w:lang w:val="en-GB"/>
        </w:rPr>
      </w:pPr>
    </w:p>
    <w:p w:rsidR="00C1097C" w:rsidRDefault="00C1097C" w:rsidP="008A75F4">
      <w:pPr>
        <w:spacing w:line="480" w:lineRule="auto"/>
        <w:rPr>
          <w:b/>
          <w:noProof/>
          <w:lang w:val="en-GB"/>
        </w:rPr>
      </w:pPr>
    </w:p>
    <w:p w:rsidR="002F65EF" w:rsidRPr="008A75F4" w:rsidRDefault="002F65EF" w:rsidP="008A75F4">
      <w:pPr>
        <w:spacing w:line="480" w:lineRule="auto"/>
        <w:rPr>
          <w:b/>
          <w:noProof/>
          <w:lang w:val="en-GB"/>
        </w:rPr>
      </w:pPr>
      <w:r w:rsidRPr="008A75F4">
        <w:rPr>
          <w:b/>
          <w:noProof/>
          <w:lang w:val="en-GB"/>
        </w:rPr>
        <w:t>Table caption list:</w:t>
      </w:r>
    </w:p>
    <w:p w:rsidR="002F65EF" w:rsidRPr="008A75F4" w:rsidRDefault="002F65EF" w:rsidP="008A75F4">
      <w:pPr>
        <w:autoSpaceDE w:val="0"/>
        <w:autoSpaceDN w:val="0"/>
        <w:adjustRightInd w:val="0"/>
        <w:spacing w:line="480" w:lineRule="auto"/>
      </w:pPr>
      <w:r w:rsidRPr="008A75F4">
        <w:rPr>
          <w:b/>
        </w:rPr>
        <w:t>Table 1</w:t>
      </w:r>
      <w:r w:rsidRPr="008A75F4">
        <w:t xml:space="preserve"> TopHat output obtained from </w:t>
      </w:r>
      <w:r w:rsidRPr="008A75F4">
        <w:rPr>
          <w:i/>
        </w:rPr>
        <w:t>Narcissus</w:t>
      </w:r>
      <w:r w:rsidRPr="008A75F4">
        <w:t xml:space="preserve"> RNA-seq data (Discovery Environment, CyVerse) against </w:t>
      </w:r>
      <w:r w:rsidRPr="008A75F4">
        <w:rPr>
          <w:i/>
        </w:rPr>
        <w:t>Narcissus</w:t>
      </w:r>
      <w:r w:rsidRPr="008A75F4">
        <w:t xml:space="preserve"> transcriptome from MedPlant RNA-Seq Databases</w:t>
      </w:r>
    </w:p>
    <w:p w:rsidR="002F65EF" w:rsidRPr="008A75F4" w:rsidRDefault="002F65EF" w:rsidP="008A75F4">
      <w:pPr>
        <w:spacing w:line="480" w:lineRule="auto"/>
      </w:pPr>
      <w:r w:rsidRPr="008A75F4">
        <w:rPr>
          <w:b/>
        </w:rPr>
        <w:t xml:space="preserve">Table </w:t>
      </w:r>
      <w:r w:rsidR="00166057" w:rsidRPr="008A75F4">
        <w:rPr>
          <w:b/>
        </w:rPr>
        <w:t>2</w:t>
      </w:r>
      <w:r w:rsidRPr="008A75F4">
        <w:t xml:space="preserve"> Probable genes related to secondary metabolite production detected in </w:t>
      </w:r>
      <w:r w:rsidRPr="008A75F4">
        <w:rPr>
          <w:i/>
        </w:rPr>
        <w:t xml:space="preserve">Narcissus </w:t>
      </w:r>
      <w:r w:rsidRPr="008A75F4">
        <w:t>basal plate and callus</w:t>
      </w:r>
      <w:r w:rsidRPr="008A75F4">
        <w:rPr>
          <w:i/>
        </w:rPr>
        <w:t xml:space="preserve"> </w:t>
      </w:r>
      <w:r w:rsidRPr="008A75F4">
        <w:t>transcriptome data (significant genes with q-value ≤ 0.05)</w:t>
      </w:r>
    </w:p>
    <w:p w:rsidR="00166057" w:rsidRPr="008A75F4" w:rsidRDefault="00166057" w:rsidP="008A75F4">
      <w:pPr>
        <w:spacing w:line="480" w:lineRule="auto"/>
      </w:pPr>
      <w:r w:rsidRPr="008A75F4">
        <w:rPr>
          <w:b/>
        </w:rPr>
        <w:t xml:space="preserve">Table 3 </w:t>
      </w:r>
      <w:r w:rsidRPr="008A75F4">
        <w:t xml:space="preserve">Pathways related to secondary metabolite production and central metabolism, detected in </w:t>
      </w:r>
      <w:r w:rsidRPr="008A75F4">
        <w:rPr>
          <w:i/>
        </w:rPr>
        <w:t>N. pseudonarcissus</w:t>
      </w:r>
      <w:r w:rsidRPr="008A75F4">
        <w:t xml:space="preserve"> basal plate and callus by mapping to </w:t>
      </w:r>
      <w:proofErr w:type="gramStart"/>
      <w:r w:rsidRPr="008A75F4">
        <w:t>curated</w:t>
      </w:r>
      <w:proofErr w:type="gramEnd"/>
      <w:r w:rsidRPr="008A75F4">
        <w:t xml:space="preserve"> </w:t>
      </w:r>
      <w:r w:rsidRPr="008A75F4">
        <w:rPr>
          <w:i/>
        </w:rPr>
        <w:t>Oryza sativa</w:t>
      </w:r>
      <w:r w:rsidRPr="008A75F4">
        <w:t xml:space="preserve"> pathway database (Plant Reactome).</w:t>
      </w:r>
    </w:p>
    <w:p w:rsidR="00166057" w:rsidRPr="00E07533" w:rsidRDefault="00166057" w:rsidP="008A75F4">
      <w:pPr>
        <w:spacing w:line="480" w:lineRule="auto"/>
        <w:rPr>
          <w:b/>
          <w:noProof/>
          <w:lang w:val="en-GB"/>
        </w:rPr>
      </w:pPr>
      <w:r w:rsidRPr="00E07533">
        <w:rPr>
          <w:b/>
          <w:noProof/>
          <w:lang w:val="en-GB"/>
        </w:rPr>
        <w:t>Figure caption list:</w:t>
      </w:r>
    </w:p>
    <w:p w:rsidR="005B017D" w:rsidRPr="008A75F4" w:rsidRDefault="005B017D" w:rsidP="008A75F4">
      <w:pPr>
        <w:spacing w:line="480" w:lineRule="auto"/>
      </w:pPr>
      <w:proofErr w:type="gramStart"/>
      <w:r w:rsidRPr="008A75F4">
        <w:rPr>
          <w:b/>
        </w:rPr>
        <w:t>Fig. 1.</w:t>
      </w:r>
      <w:proofErr w:type="gramEnd"/>
      <w:r w:rsidRPr="008A75F4">
        <w:rPr>
          <w:b/>
        </w:rPr>
        <w:t xml:space="preserve"> </w:t>
      </w:r>
      <w:r w:rsidRPr="008A75F4">
        <w:t xml:space="preserve">An overview of methods used for the </w:t>
      </w:r>
      <w:r w:rsidRPr="008A75F4">
        <w:rPr>
          <w:i/>
        </w:rPr>
        <w:t>N. pseudonarcissus</w:t>
      </w:r>
      <w:r w:rsidRPr="008A75F4">
        <w:t xml:space="preserve"> cv. Carlton transcriptome (RNA-seq) data analysis</w:t>
      </w:r>
    </w:p>
    <w:p w:rsidR="005B017D" w:rsidRPr="008A75F4" w:rsidRDefault="005B017D" w:rsidP="008A75F4">
      <w:pPr>
        <w:spacing w:line="480" w:lineRule="auto"/>
      </w:pPr>
      <w:proofErr w:type="gramStart"/>
      <w:r w:rsidRPr="008A75F4">
        <w:rPr>
          <w:b/>
        </w:rPr>
        <w:t>Fig. 2.</w:t>
      </w:r>
      <w:proofErr w:type="gramEnd"/>
      <w:r w:rsidRPr="008A75F4">
        <w:t xml:space="preserve"> Volcano plot (CummeRbund) indicating the presence of differentially expressed genes between Carlton basal plate and callus. Significantly, expressed genes are indicated by blue dots and red dots are representing the non-significant genes.</w:t>
      </w:r>
    </w:p>
    <w:p w:rsidR="005B017D" w:rsidRPr="008A75F4" w:rsidRDefault="005B017D" w:rsidP="008A75F4">
      <w:pPr>
        <w:spacing w:line="480" w:lineRule="auto"/>
      </w:pPr>
      <w:proofErr w:type="gramStart"/>
      <w:r w:rsidRPr="008A75F4">
        <w:rPr>
          <w:b/>
        </w:rPr>
        <w:t>Fig. 3.</w:t>
      </w:r>
      <w:proofErr w:type="gramEnd"/>
      <w:r w:rsidRPr="008A75F4">
        <w:t xml:space="preserve"> Distribution patterns of the eleven abundant gene groups that were differentially expressed between basal plate and callus. The percentages contributed 41.7% to the total annotated genes (83.46%).</w:t>
      </w:r>
    </w:p>
    <w:p w:rsidR="00972D52" w:rsidRPr="008A75F4" w:rsidRDefault="00972D52" w:rsidP="008A75F4">
      <w:pPr>
        <w:spacing w:line="480" w:lineRule="auto"/>
      </w:pPr>
      <w:proofErr w:type="gramStart"/>
      <w:r w:rsidRPr="008A75F4">
        <w:rPr>
          <w:b/>
        </w:rPr>
        <w:t>Fig. 4.</w:t>
      </w:r>
      <w:proofErr w:type="gramEnd"/>
      <w:r w:rsidRPr="008A75F4">
        <w:t xml:space="preserve"> Heatmaps generated using CummeRbund for top 50 transcripts sorted by Cuffdiff showing differential expression pattern of transcripts in Carlton basal plate and callus. Blue box = transcripts expressed in callus, red box = transcripts expressed in Carlton basal plate and black box = transcr</w:t>
      </w:r>
      <w:r w:rsidR="008A75F4" w:rsidRPr="008A75F4">
        <w:t>ipts expressed in both tissues</w:t>
      </w:r>
    </w:p>
    <w:p w:rsidR="008A75F4" w:rsidRPr="008A75F4" w:rsidRDefault="008A75F4" w:rsidP="008A75F4">
      <w:pPr>
        <w:spacing w:line="480" w:lineRule="auto"/>
      </w:pPr>
      <w:proofErr w:type="gramStart"/>
      <w:r w:rsidRPr="008A75F4">
        <w:rPr>
          <w:b/>
        </w:rPr>
        <w:t>Fig. 5.</w:t>
      </w:r>
      <w:proofErr w:type="gramEnd"/>
      <w:r w:rsidRPr="008A75F4">
        <w:rPr>
          <w:b/>
        </w:rPr>
        <w:t xml:space="preserve"> </w:t>
      </w:r>
      <w:r w:rsidRPr="008A75F4">
        <w:t>The abundance of important gene groups besides secondary metabolism related genes detected as differentially expressed in basal plate and callus with q-values ≤ 1.0.</w:t>
      </w:r>
    </w:p>
    <w:p w:rsidR="008A75F4" w:rsidRPr="008A75F4" w:rsidRDefault="008A75F4" w:rsidP="008A75F4">
      <w:pPr>
        <w:spacing w:line="480" w:lineRule="auto"/>
      </w:pPr>
      <w:proofErr w:type="gramStart"/>
      <w:r w:rsidRPr="008A75F4">
        <w:rPr>
          <w:b/>
        </w:rPr>
        <w:t>Fig. 6.</w:t>
      </w:r>
      <w:proofErr w:type="gramEnd"/>
      <w:r w:rsidRPr="008A75F4">
        <w:rPr>
          <w:b/>
        </w:rPr>
        <w:t xml:space="preserve"> </w:t>
      </w:r>
      <w:proofErr w:type="gramStart"/>
      <w:r w:rsidRPr="008A75F4">
        <w:t xml:space="preserve">The UniProt Gene Ontology (GO) analysis of significantly up-regulated transcripts detected in </w:t>
      </w:r>
      <w:r w:rsidRPr="008A75F4">
        <w:rPr>
          <w:b/>
        </w:rPr>
        <w:t>(a)</w:t>
      </w:r>
      <w:r w:rsidRPr="008A75F4">
        <w:t xml:space="preserve"> basal plate and </w:t>
      </w:r>
      <w:r w:rsidRPr="008A75F4">
        <w:rPr>
          <w:b/>
        </w:rPr>
        <w:t>(b)</w:t>
      </w:r>
      <w:r w:rsidRPr="008A75F4">
        <w:t xml:space="preserve"> callus (q-value ≤ 0.05).</w:t>
      </w:r>
      <w:proofErr w:type="gramEnd"/>
      <w:r w:rsidRPr="008A75F4">
        <w:t xml:space="preserve"> The numbers in bracket represent the </w:t>
      </w:r>
      <w:r w:rsidRPr="008A75F4">
        <w:lastRenderedPageBreak/>
        <w:t>total transcripts assigned for the respective GO categories. Several transcripts were assigned to more than one category.</w:t>
      </w:r>
    </w:p>
    <w:p w:rsidR="008A75F4" w:rsidRPr="008A75F4" w:rsidRDefault="008A75F4" w:rsidP="008A75F4">
      <w:pPr>
        <w:spacing w:line="480" w:lineRule="auto"/>
      </w:pPr>
      <w:proofErr w:type="gramStart"/>
      <w:r w:rsidRPr="008A75F4">
        <w:rPr>
          <w:b/>
        </w:rPr>
        <w:t>Fig. 7.</w:t>
      </w:r>
      <w:proofErr w:type="gramEnd"/>
      <w:r w:rsidRPr="008A75F4">
        <w:t xml:space="preserve"> An overview of GO assignment for basal plate and callus GO IDs annotated against significant up-regulated transcripts at q-value ≤ 0.05; using EMBL-EBI Quick GO-Beta annotations. GO terms contributing less than 1% are not included.</w:t>
      </w:r>
    </w:p>
    <w:p w:rsidR="00B53446" w:rsidRDefault="008A75F4" w:rsidP="00D2595E">
      <w:pPr>
        <w:spacing w:line="480" w:lineRule="auto"/>
      </w:pPr>
      <w:proofErr w:type="gramStart"/>
      <w:r w:rsidRPr="008A75F4">
        <w:rPr>
          <w:b/>
        </w:rPr>
        <w:t>Fig. 8.</w:t>
      </w:r>
      <w:proofErr w:type="gramEnd"/>
      <w:r w:rsidRPr="008A75F4">
        <w:t xml:space="preserve"> Metabolic networks from D-Glucose to secondary metabolites in </w:t>
      </w:r>
      <w:r w:rsidRPr="008A75F4">
        <w:rPr>
          <w:i/>
        </w:rPr>
        <w:t>N. pseudonarcissus</w:t>
      </w:r>
      <w:r w:rsidRPr="008A75F4">
        <w:t xml:space="preserve"> developed from KEGG and Plant Reactome pathway analyses. The postulated transcripts (italics) corresponding to enzymes expressed in different </w:t>
      </w:r>
      <w:r w:rsidRPr="008A75F4">
        <w:rPr>
          <w:i/>
        </w:rPr>
        <w:t>Narcissus</w:t>
      </w:r>
      <w:r w:rsidRPr="008A75F4">
        <w:t xml:space="preserve"> tissues are labeled in different colors; callus (blue), basal plate (purple) and both callus and basal plate (red) next to arrows were identified in the </w:t>
      </w:r>
      <w:r w:rsidRPr="008C3BF9">
        <w:rPr>
          <w:i/>
        </w:rPr>
        <w:t>Narcissus</w:t>
      </w:r>
      <w:r w:rsidRPr="008A75F4">
        <w:t xml:space="preserve"> transcriptome data. HMG= Hydroxyl methyl glutarate; ERF= Ethylene response factor; PAL = Phenyl ammonia lyase; TYDC = Tyrosine decarboxylase; AUX=Auxin related enzyme; OMT = </w:t>
      </w:r>
      <w:r w:rsidRPr="008A75F4">
        <w:rPr>
          <w:i/>
        </w:rPr>
        <w:t>O</w:t>
      </w:r>
      <w:r w:rsidRPr="008A75F4">
        <w:t>-methyltransferase.</w:t>
      </w: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Default="00B53446" w:rsidP="00D2595E">
      <w:pPr>
        <w:spacing w:line="480" w:lineRule="auto"/>
      </w:pPr>
    </w:p>
    <w:p w:rsidR="00B53446" w:rsidRPr="008E6755" w:rsidRDefault="00B53446" w:rsidP="00B53446">
      <w:pPr>
        <w:autoSpaceDE w:val="0"/>
        <w:autoSpaceDN w:val="0"/>
        <w:adjustRightInd w:val="0"/>
        <w:spacing w:line="480" w:lineRule="auto"/>
      </w:pPr>
      <w:r w:rsidRPr="008E6755">
        <w:rPr>
          <w:b/>
        </w:rPr>
        <w:lastRenderedPageBreak/>
        <w:t>Table 1</w:t>
      </w:r>
      <w:r w:rsidRPr="008E6755">
        <w:t xml:space="preserve">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843"/>
        <w:gridCol w:w="1843"/>
        <w:gridCol w:w="2410"/>
        <w:gridCol w:w="2409"/>
      </w:tblGrid>
      <w:tr w:rsidR="00B53446" w:rsidRPr="00670B96" w:rsidTr="008A51EA">
        <w:trPr>
          <w:trHeight w:val="444"/>
        </w:trPr>
        <w:tc>
          <w:tcPr>
            <w:tcW w:w="1134" w:type="dxa"/>
            <w:vMerge w:val="restart"/>
            <w:tcBorders>
              <w:top w:val="single" w:sz="4" w:space="0" w:color="auto"/>
              <w:bottom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r w:rsidRPr="00670B96">
              <w:rPr>
                <w:sz w:val="20"/>
                <w:szCs w:val="20"/>
              </w:rPr>
              <w:t>Samples</w:t>
            </w:r>
          </w:p>
        </w:tc>
        <w:tc>
          <w:tcPr>
            <w:tcW w:w="3686" w:type="dxa"/>
            <w:gridSpan w:val="2"/>
            <w:tcBorders>
              <w:top w:val="single" w:sz="4" w:space="0" w:color="auto"/>
              <w:bottom w:val="single" w:sz="4" w:space="0" w:color="auto"/>
            </w:tcBorders>
            <w:shd w:val="clear" w:color="auto" w:fill="auto"/>
          </w:tcPr>
          <w:p w:rsidR="00B53446" w:rsidRPr="00670B96" w:rsidRDefault="00B53446" w:rsidP="008A51EA">
            <w:pPr>
              <w:autoSpaceDE w:val="0"/>
              <w:autoSpaceDN w:val="0"/>
              <w:adjustRightInd w:val="0"/>
              <w:spacing w:line="480" w:lineRule="auto"/>
              <w:jc w:val="center"/>
              <w:rPr>
                <w:sz w:val="20"/>
                <w:szCs w:val="20"/>
              </w:rPr>
            </w:pPr>
            <w:r w:rsidRPr="00670B96">
              <w:rPr>
                <w:sz w:val="20"/>
                <w:szCs w:val="20"/>
              </w:rPr>
              <w:t>Read alignment rate (% of input)</w:t>
            </w:r>
          </w:p>
        </w:tc>
        <w:tc>
          <w:tcPr>
            <w:tcW w:w="2410" w:type="dxa"/>
            <w:vMerge w:val="restart"/>
            <w:tcBorders>
              <w:top w:val="single" w:sz="4" w:space="0" w:color="auto"/>
              <w:bottom w:val="single" w:sz="4" w:space="0" w:color="auto"/>
            </w:tcBorders>
            <w:shd w:val="clear" w:color="auto" w:fill="auto"/>
          </w:tcPr>
          <w:p w:rsidR="00B53446" w:rsidRPr="00670B96" w:rsidRDefault="00B53446" w:rsidP="008A51EA">
            <w:pPr>
              <w:autoSpaceDE w:val="0"/>
              <w:autoSpaceDN w:val="0"/>
              <w:adjustRightInd w:val="0"/>
              <w:spacing w:line="480" w:lineRule="auto"/>
              <w:jc w:val="center"/>
              <w:rPr>
                <w:sz w:val="20"/>
                <w:szCs w:val="20"/>
              </w:rPr>
            </w:pPr>
            <w:r w:rsidRPr="00670B96">
              <w:rPr>
                <w:sz w:val="20"/>
                <w:szCs w:val="20"/>
              </w:rPr>
              <w:t>Overall read alignment rate (%)</w:t>
            </w:r>
          </w:p>
        </w:tc>
        <w:tc>
          <w:tcPr>
            <w:tcW w:w="2409" w:type="dxa"/>
            <w:vMerge w:val="restart"/>
            <w:tcBorders>
              <w:top w:val="single" w:sz="4" w:space="0" w:color="auto"/>
              <w:bottom w:val="single" w:sz="4" w:space="0" w:color="auto"/>
            </w:tcBorders>
            <w:shd w:val="clear" w:color="auto" w:fill="auto"/>
          </w:tcPr>
          <w:p w:rsidR="00B53446" w:rsidRPr="00670B96" w:rsidRDefault="00B53446" w:rsidP="008A51EA">
            <w:pPr>
              <w:autoSpaceDE w:val="0"/>
              <w:autoSpaceDN w:val="0"/>
              <w:adjustRightInd w:val="0"/>
              <w:spacing w:line="480" w:lineRule="auto"/>
              <w:jc w:val="center"/>
              <w:rPr>
                <w:sz w:val="20"/>
                <w:szCs w:val="20"/>
              </w:rPr>
            </w:pPr>
            <w:r w:rsidRPr="00670B96">
              <w:rPr>
                <w:sz w:val="20"/>
                <w:szCs w:val="20"/>
              </w:rPr>
              <w:t>Concordant pair alignment rate (%)</w:t>
            </w:r>
          </w:p>
        </w:tc>
      </w:tr>
      <w:tr w:rsidR="00B53446" w:rsidRPr="00670B96" w:rsidTr="008A51EA">
        <w:trPr>
          <w:trHeight w:val="225"/>
        </w:trPr>
        <w:tc>
          <w:tcPr>
            <w:tcW w:w="1134" w:type="dxa"/>
            <w:vMerge/>
            <w:tcBorders>
              <w:top w:val="single" w:sz="4" w:space="0" w:color="auto"/>
              <w:bottom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p>
        </w:tc>
        <w:tc>
          <w:tcPr>
            <w:tcW w:w="1843" w:type="dxa"/>
            <w:tcBorders>
              <w:top w:val="single" w:sz="4" w:space="0" w:color="auto"/>
              <w:bottom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r w:rsidRPr="00670B96">
              <w:rPr>
                <w:sz w:val="20"/>
                <w:szCs w:val="20"/>
              </w:rPr>
              <w:t>Left read</w:t>
            </w:r>
          </w:p>
        </w:tc>
        <w:tc>
          <w:tcPr>
            <w:tcW w:w="1843" w:type="dxa"/>
            <w:tcBorders>
              <w:top w:val="single" w:sz="4" w:space="0" w:color="auto"/>
              <w:bottom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r w:rsidRPr="00670B96">
              <w:rPr>
                <w:sz w:val="20"/>
                <w:szCs w:val="20"/>
              </w:rPr>
              <w:t>Right read</w:t>
            </w:r>
          </w:p>
        </w:tc>
        <w:tc>
          <w:tcPr>
            <w:tcW w:w="2410" w:type="dxa"/>
            <w:vMerge/>
            <w:tcBorders>
              <w:top w:val="single" w:sz="4" w:space="0" w:color="auto"/>
              <w:bottom w:val="single" w:sz="4" w:space="0" w:color="auto"/>
            </w:tcBorders>
            <w:shd w:val="clear" w:color="auto" w:fill="auto"/>
          </w:tcPr>
          <w:p w:rsidR="00B53446" w:rsidRPr="00670B96" w:rsidRDefault="00B53446" w:rsidP="008A51EA">
            <w:pPr>
              <w:autoSpaceDE w:val="0"/>
              <w:autoSpaceDN w:val="0"/>
              <w:adjustRightInd w:val="0"/>
              <w:spacing w:line="480" w:lineRule="auto"/>
              <w:rPr>
                <w:b/>
                <w:sz w:val="20"/>
                <w:szCs w:val="20"/>
              </w:rPr>
            </w:pPr>
          </w:p>
        </w:tc>
        <w:tc>
          <w:tcPr>
            <w:tcW w:w="2409" w:type="dxa"/>
            <w:vMerge/>
            <w:tcBorders>
              <w:top w:val="single" w:sz="4" w:space="0" w:color="auto"/>
              <w:bottom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p>
        </w:tc>
      </w:tr>
      <w:tr w:rsidR="00B53446" w:rsidRPr="00670B96" w:rsidTr="008A51EA">
        <w:tc>
          <w:tcPr>
            <w:tcW w:w="1134" w:type="dxa"/>
            <w:tcBorders>
              <w:top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r w:rsidRPr="00670B96">
              <w:rPr>
                <w:sz w:val="20"/>
                <w:szCs w:val="20"/>
              </w:rPr>
              <w:t>CBS1</w:t>
            </w:r>
          </w:p>
        </w:tc>
        <w:tc>
          <w:tcPr>
            <w:tcW w:w="1843" w:type="dxa"/>
            <w:tcBorders>
              <w:top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r w:rsidRPr="00670B96">
              <w:rPr>
                <w:sz w:val="20"/>
                <w:szCs w:val="20"/>
              </w:rPr>
              <w:t>35.1</w:t>
            </w:r>
          </w:p>
        </w:tc>
        <w:tc>
          <w:tcPr>
            <w:tcW w:w="1843" w:type="dxa"/>
            <w:tcBorders>
              <w:top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r w:rsidRPr="00670B96">
              <w:rPr>
                <w:sz w:val="20"/>
                <w:szCs w:val="20"/>
              </w:rPr>
              <w:t>33.8</w:t>
            </w:r>
          </w:p>
        </w:tc>
        <w:tc>
          <w:tcPr>
            <w:tcW w:w="2410" w:type="dxa"/>
            <w:tcBorders>
              <w:top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r w:rsidRPr="00670B96">
              <w:rPr>
                <w:sz w:val="20"/>
                <w:szCs w:val="20"/>
              </w:rPr>
              <w:t>34.5</w:t>
            </w:r>
          </w:p>
        </w:tc>
        <w:tc>
          <w:tcPr>
            <w:tcW w:w="2409" w:type="dxa"/>
            <w:tcBorders>
              <w:top w:val="single" w:sz="4" w:space="0" w:color="auto"/>
            </w:tcBorders>
            <w:shd w:val="clear" w:color="auto" w:fill="auto"/>
          </w:tcPr>
          <w:p w:rsidR="00B53446" w:rsidRPr="00670B96" w:rsidRDefault="00B53446" w:rsidP="008A51EA">
            <w:pPr>
              <w:autoSpaceDE w:val="0"/>
              <w:autoSpaceDN w:val="0"/>
              <w:adjustRightInd w:val="0"/>
              <w:spacing w:line="480" w:lineRule="auto"/>
              <w:rPr>
                <w:sz w:val="20"/>
                <w:szCs w:val="20"/>
              </w:rPr>
            </w:pPr>
            <w:r w:rsidRPr="00670B96">
              <w:rPr>
                <w:sz w:val="20"/>
                <w:szCs w:val="20"/>
              </w:rPr>
              <w:t>30</w:t>
            </w:r>
          </w:p>
        </w:tc>
      </w:tr>
      <w:tr w:rsidR="00B53446" w:rsidRPr="00670B96" w:rsidTr="008A51EA">
        <w:tc>
          <w:tcPr>
            <w:tcW w:w="1134"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CBS2</w:t>
            </w:r>
          </w:p>
        </w:tc>
        <w:tc>
          <w:tcPr>
            <w:tcW w:w="1843"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19.3</w:t>
            </w:r>
          </w:p>
        </w:tc>
        <w:tc>
          <w:tcPr>
            <w:tcW w:w="1843"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19</w:t>
            </w:r>
          </w:p>
        </w:tc>
        <w:tc>
          <w:tcPr>
            <w:tcW w:w="2410" w:type="dxa"/>
          </w:tcPr>
          <w:p w:rsidR="00B53446" w:rsidRPr="00670B96" w:rsidRDefault="00B53446" w:rsidP="008A51EA">
            <w:pPr>
              <w:tabs>
                <w:tab w:val="right" w:pos="2194"/>
              </w:tabs>
              <w:autoSpaceDE w:val="0"/>
              <w:autoSpaceDN w:val="0"/>
              <w:adjustRightInd w:val="0"/>
              <w:spacing w:line="480" w:lineRule="auto"/>
              <w:rPr>
                <w:sz w:val="20"/>
                <w:szCs w:val="20"/>
              </w:rPr>
            </w:pPr>
            <w:r w:rsidRPr="00670B96">
              <w:rPr>
                <w:sz w:val="20"/>
                <w:szCs w:val="20"/>
              </w:rPr>
              <w:t>19.1</w:t>
            </w:r>
            <w:r w:rsidRPr="00670B96">
              <w:rPr>
                <w:sz w:val="20"/>
                <w:szCs w:val="20"/>
              </w:rPr>
              <w:tab/>
            </w:r>
          </w:p>
        </w:tc>
        <w:tc>
          <w:tcPr>
            <w:tcW w:w="2409"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17.1</w:t>
            </w:r>
          </w:p>
        </w:tc>
      </w:tr>
      <w:tr w:rsidR="00B53446" w:rsidRPr="00670B96" w:rsidTr="008A51EA">
        <w:tc>
          <w:tcPr>
            <w:tcW w:w="1134"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CBS3</w:t>
            </w:r>
          </w:p>
        </w:tc>
        <w:tc>
          <w:tcPr>
            <w:tcW w:w="1843"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48.6</w:t>
            </w:r>
          </w:p>
        </w:tc>
        <w:tc>
          <w:tcPr>
            <w:tcW w:w="1843"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47.3</w:t>
            </w:r>
          </w:p>
        </w:tc>
        <w:tc>
          <w:tcPr>
            <w:tcW w:w="2410"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47.9</w:t>
            </w:r>
          </w:p>
        </w:tc>
        <w:tc>
          <w:tcPr>
            <w:tcW w:w="2409"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40.9</w:t>
            </w:r>
          </w:p>
        </w:tc>
      </w:tr>
      <w:tr w:rsidR="00B53446" w:rsidRPr="00670B96" w:rsidTr="008A51EA">
        <w:tc>
          <w:tcPr>
            <w:tcW w:w="1134"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CAL1</w:t>
            </w:r>
          </w:p>
        </w:tc>
        <w:tc>
          <w:tcPr>
            <w:tcW w:w="1843"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41.8</w:t>
            </w:r>
          </w:p>
        </w:tc>
        <w:tc>
          <w:tcPr>
            <w:tcW w:w="1843"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39.4</w:t>
            </w:r>
          </w:p>
        </w:tc>
        <w:tc>
          <w:tcPr>
            <w:tcW w:w="2410"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40.6</w:t>
            </w:r>
          </w:p>
        </w:tc>
        <w:tc>
          <w:tcPr>
            <w:tcW w:w="2409"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35.5</w:t>
            </w:r>
          </w:p>
        </w:tc>
      </w:tr>
      <w:tr w:rsidR="00B53446" w:rsidRPr="00670B96" w:rsidTr="008A51EA">
        <w:trPr>
          <w:trHeight w:val="273"/>
        </w:trPr>
        <w:tc>
          <w:tcPr>
            <w:tcW w:w="1134"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CAL2</w:t>
            </w:r>
          </w:p>
        </w:tc>
        <w:tc>
          <w:tcPr>
            <w:tcW w:w="1843"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36.5</w:t>
            </w:r>
          </w:p>
        </w:tc>
        <w:tc>
          <w:tcPr>
            <w:tcW w:w="1843"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35.5</w:t>
            </w:r>
          </w:p>
        </w:tc>
        <w:tc>
          <w:tcPr>
            <w:tcW w:w="2410"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36</w:t>
            </w:r>
          </w:p>
        </w:tc>
        <w:tc>
          <w:tcPr>
            <w:tcW w:w="2409" w:type="dxa"/>
          </w:tcPr>
          <w:p w:rsidR="00B53446" w:rsidRPr="00670B96" w:rsidRDefault="00B53446" w:rsidP="008A51EA">
            <w:pPr>
              <w:autoSpaceDE w:val="0"/>
              <w:autoSpaceDN w:val="0"/>
              <w:adjustRightInd w:val="0"/>
              <w:spacing w:line="480" w:lineRule="auto"/>
              <w:rPr>
                <w:sz w:val="20"/>
                <w:szCs w:val="20"/>
              </w:rPr>
            </w:pPr>
            <w:r w:rsidRPr="00670B96">
              <w:rPr>
                <w:sz w:val="20"/>
                <w:szCs w:val="20"/>
              </w:rPr>
              <w:t>31.8</w:t>
            </w:r>
          </w:p>
        </w:tc>
      </w:tr>
      <w:tr w:rsidR="00B53446" w:rsidRPr="00670B96" w:rsidTr="008A51EA">
        <w:tc>
          <w:tcPr>
            <w:tcW w:w="1134" w:type="dxa"/>
            <w:tcBorders>
              <w:bottom w:val="single" w:sz="4" w:space="0" w:color="auto"/>
            </w:tcBorders>
          </w:tcPr>
          <w:p w:rsidR="00B53446" w:rsidRPr="00670B96" w:rsidRDefault="00B53446" w:rsidP="008A51EA">
            <w:pPr>
              <w:autoSpaceDE w:val="0"/>
              <w:autoSpaceDN w:val="0"/>
              <w:adjustRightInd w:val="0"/>
              <w:spacing w:line="480" w:lineRule="auto"/>
              <w:rPr>
                <w:sz w:val="20"/>
                <w:szCs w:val="20"/>
              </w:rPr>
            </w:pPr>
            <w:r w:rsidRPr="00670B96">
              <w:rPr>
                <w:sz w:val="20"/>
                <w:szCs w:val="20"/>
              </w:rPr>
              <w:t>CAL3</w:t>
            </w:r>
          </w:p>
        </w:tc>
        <w:tc>
          <w:tcPr>
            <w:tcW w:w="1843" w:type="dxa"/>
            <w:tcBorders>
              <w:bottom w:val="single" w:sz="4" w:space="0" w:color="auto"/>
            </w:tcBorders>
          </w:tcPr>
          <w:p w:rsidR="00B53446" w:rsidRPr="00670B96" w:rsidRDefault="00B53446" w:rsidP="008A51EA">
            <w:pPr>
              <w:autoSpaceDE w:val="0"/>
              <w:autoSpaceDN w:val="0"/>
              <w:adjustRightInd w:val="0"/>
              <w:spacing w:line="480" w:lineRule="auto"/>
              <w:rPr>
                <w:sz w:val="20"/>
                <w:szCs w:val="20"/>
              </w:rPr>
            </w:pPr>
            <w:r w:rsidRPr="00670B96">
              <w:rPr>
                <w:sz w:val="20"/>
                <w:szCs w:val="20"/>
              </w:rPr>
              <w:t>40.3</w:t>
            </w:r>
          </w:p>
        </w:tc>
        <w:tc>
          <w:tcPr>
            <w:tcW w:w="1843" w:type="dxa"/>
            <w:tcBorders>
              <w:bottom w:val="single" w:sz="4" w:space="0" w:color="auto"/>
            </w:tcBorders>
          </w:tcPr>
          <w:p w:rsidR="00B53446" w:rsidRPr="00670B96" w:rsidRDefault="00B53446" w:rsidP="008A51EA">
            <w:pPr>
              <w:autoSpaceDE w:val="0"/>
              <w:autoSpaceDN w:val="0"/>
              <w:adjustRightInd w:val="0"/>
              <w:spacing w:line="480" w:lineRule="auto"/>
              <w:rPr>
                <w:sz w:val="20"/>
                <w:szCs w:val="20"/>
              </w:rPr>
            </w:pPr>
            <w:r w:rsidRPr="00670B96">
              <w:rPr>
                <w:sz w:val="20"/>
                <w:szCs w:val="20"/>
              </w:rPr>
              <w:t>38.1</w:t>
            </w:r>
          </w:p>
        </w:tc>
        <w:tc>
          <w:tcPr>
            <w:tcW w:w="2410" w:type="dxa"/>
            <w:tcBorders>
              <w:bottom w:val="single" w:sz="4" w:space="0" w:color="auto"/>
            </w:tcBorders>
          </w:tcPr>
          <w:p w:rsidR="00B53446" w:rsidRPr="00670B96" w:rsidRDefault="00B53446" w:rsidP="008A51EA">
            <w:pPr>
              <w:autoSpaceDE w:val="0"/>
              <w:autoSpaceDN w:val="0"/>
              <w:adjustRightInd w:val="0"/>
              <w:spacing w:line="480" w:lineRule="auto"/>
              <w:rPr>
                <w:sz w:val="20"/>
                <w:szCs w:val="20"/>
              </w:rPr>
            </w:pPr>
            <w:r w:rsidRPr="00670B96">
              <w:rPr>
                <w:sz w:val="20"/>
                <w:szCs w:val="20"/>
              </w:rPr>
              <w:t>39.2</w:t>
            </w:r>
          </w:p>
        </w:tc>
        <w:tc>
          <w:tcPr>
            <w:tcW w:w="2409" w:type="dxa"/>
            <w:tcBorders>
              <w:bottom w:val="single" w:sz="4" w:space="0" w:color="auto"/>
            </w:tcBorders>
          </w:tcPr>
          <w:p w:rsidR="00B53446" w:rsidRPr="00670B96" w:rsidRDefault="00B53446" w:rsidP="008A51EA">
            <w:pPr>
              <w:autoSpaceDE w:val="0"/>
              <w:autoSpaceDN w:val="0"/>
              <w:adjustRightInd w:val="0"/>
              <w:spacing w:line="480" w:lineRule="auto"/>
              <w:rPr>
                <w:sz w:val="20"/>
                <w:szCs w:val="20"/>
              </w:rPr>
            </w:pPr>
            <w:r w:rsidRPr="00670B96">
              <w:rPr>
                <w:sz w:val="20"/>
                <w:szCs w:val="20"/>
              </w:rPr>
              <w:t>33.4</w:t>
            </w:r>
          </w:p>
        </w:tc>
      </w:tr>
    </w:tbl>
    <w:p w:rsidR="00B53446" w:rsidRPr="00B53446" w:rsidRDefault="00B53446" w:rsidP="00B53446">
      <w:pPr>
        <w:autoSpaceDE w:val="0"/>
        <w:autoSpaceDN w:val="0"/>
        <w:adjustRightInd w:val="0"/>
        <w:rPr>
          <w:sz w:val="20"/>
          <w:szCs w:val="20"/>
        </w:rPr>
      </w:pPr>
      <w:r w:rsidRPr="00670B96">
        <w:rPr>
          <w:sz w:val="20"/>
          <w:szCs w:val="20"/>
        </w:rPr>
        <w:t>CBS = Carlton basal plate; CAL = Callus; 1, 2, 3 = three repli</w:t>
      </w:r>
      <w:r>
        <w:rPr>
          <w:sz w:val="20"/>
          <w:szCs w:val="20"/>
        </w:rPr>
        <w:t>cates of basal plate and callus</w:t>
      </w:r>
    </w:p>
    <w:p w:rsidR="00B53446" w:rsidRDefault="00B53446" w:rsidP="00D2595E">
      <w:pPr>
        <w:spacing w:line="480" w:lineRule="auto"/>
      </w:pPr>
    </w:p>
    <w:p w:rsidR="00451503" w:rsidRPr="008A75F4" w:rsidRDefault="00451503" w:rsidP="00D2595E">
      <w:pPr>
        <w:spacing w:line="480" w:lineRule="auto"/>
        <w:sectPr w:rsidR="00451503" w:rsidRPr="008A75F4" w:rsidSect="0082053B">
          <w:footerReference w:type="default" r:id="rId59"/>
          <w:pgSz w:w="11906" w:h="16838"/>
          <w:pgMar w:top="1140" w:right="1179" w:bottom="1140" w:left="1281" w:header="708" w:footer="708" w:gutter="0"/>
          <w:lnNumType w:countBy="1" w:restart="continuous"/>
          <w:cols w:space="708"/>
          <w:docGrid w:linePitch="360"/>
        </w:sectPr>
      </w:pPr>
    </w:p>
    <w:p w:rsidR="00B53446" w:rsidRPr="00670B96" w:rsidRDefault="00B53446" w:rsidP="00B53446">
      <w:pPr>
        <w:rPr>
          <w:sz w:val="20"/>
          <w:szCs w:val="20"/>
        </w:rPr>
      </w:pPr>
      <w:r>
        <w:rPr>
          <w:b/>
          <w:sz w:val="20"/>
          <w:szCs w:val="20"/>
        </w:rPr>
        <w:lastRenderedPageBreak/>
        <w:t>Table 2</w:t>
      </w:r>
    </w:p>
    <w:tbl>
      <w:tblPr>
        <w:tblStyle w:val="TableGrid"/>
        <w:tblW w:w="9372" w:type="dxa"/>
        <w:jc w:val="center"/>
        <w:tblInd w:w="-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3"/>
        <w:gridCol w:w="1417"/>
        <w:gridCol w:w="1276"/>
        <w:gridCol w:w="1134"/>
        <w:gridCol w:w="965"/>
        <w:gridCol w:w="3057"/>
      </w:tblGrid>
      <w:tr w:rsidR="00B53446" w:rsidRPr="000C0315" w:rsidTr="008A51EA">
        <w:trPr>
          <w:trHeight w:val="247"/>
          <w:jc w:val="center"/>
        </w:trPr>
        <w:tc>
          <w:tcPr>
            <w:tcW w:w="1523" w:type="dxa"/>
            <w:tcBorders>
              <w:top w:val="single" w:sz="4" w:space="0" w:color="auto"/>
              <w:bottom w:val="single" w:sz="4" w:space="0" w:color="auto"/>
            </w:tcBorders>
            <w:shd w:val="clear" w:color="auto" w:fill="auto"/>
          </w:tcPr>
          <w:p w:rsidR="00B53446" w:rsidRPr="000C0315" w:rsidRDefault="00B53446" w:rsidP="008A51EA">
            <w:pPr>
              <w:spacing w:line="240" w:lineRule="auto"/>
              <w:rPr>
                <w:sz w:val="20"/>
                <w:szCs w:val="20"/>
              </w:rPr>
            </w:pPr>
            <w:r w:rsidRPr="000C0315">
              <w:rPr>
                <w:sz w:val="20"/>
                <w:szCs w:val="20"/>
              </w:rPr>
              <w:t>Gene ID</w:t>
            </w:r>
          </w:p>
        </w:tc>
        <w:tc>
          <w:tcPr>
            <w:tcW w:w="1417" w:type="dxa"/>
            <w:tcBorders>
              <w:top w:val="single" w:sz="4" w:space="0" w:color="auto"/>
              <w:bottom w:val="single" w:sz="4" w:space="0" w:color="auto"/>
            </w:tcBorders>
            <w:shd w:val="clear" w:color="auto" w:fill="auto"/>
          </w:tcPr>
          <w:p w:rsidR="00B53446" w:rsidRPr="000C0315" w:rsidRDefault="00B53446" w:rsidP="008A51EA">
            <w:pPr>
              <w:spacing w:line="240" w:lineRule="auto"/>
              <w:rPr>
                <w:rFonts w:eastAsia="Times New Roman"/>
                <w:color w:val="000000" w:themeColor="text1"/>
                <w:sz w:val="20"/>
                <w:szCs w:val="20"/>
              </w:rPr>
            </w:pPr>
            <w:r w:rsidRPr="000C0315">
              <w:rPr>
                <w:rFonts w:eastAsia="Times New Roman"/>
                <w:color w:val="000000" w:themeColor="text1"/>
                <w:sz w:val="20"/>
                <w:szCs w:val="20"/>
              </w:rPr>
              <w:t>UniProt ID</w:t>
            </w:r>
          </w:p>
        </w:tc>
        <w:tc>
          <w:tcPr>
            <w:tcW w:w="1276" w:type="dxa"/>
            <w:tcBorders>
              <w:top w:val="single" w:sz="4" w:space="0" w:color="auto"/>
              <w:bottom w:val="single" w:sz="4" w:space="0" w:color="auto"/>
            </w:tcBorders>
            <w:shd w:val="clear" w:color="auto" w:fill="auto"/>
          </w:tcPr>
          <w:p w:rsidR="00B53446" w:rsidRPr="000C0315" w:rsidRDefault="00B53446" w:rsidP="008A51EA">
            <w:pPr>
              <w:spacing w:line="240" w:lineRule="auto"/>
              <w:rPr>
                <w:sz w:val="20"/>
                <w:szCs w:val="20"/>
              </w:rPr>
            </w:pPr>
            <w:r w:rsidRPr="000C0315">
              <w:rPr>
                <w:sz w:val="20"/>
                <w:szCs w:val="20"/>
              </w:rPr>
              <w:t>Regulation</w:t>
            </w:r>
          </w:p>
        </w:tc>
        <w:tc>
          <w:tcPr>
            <w:tcW w:w="1134" w:type="dxa"/>
            <w:tcBorders>
              <w:top w:val="single" w:sz="4" w:space="0" w:color="auto"/>
              <w:bottom w:val="single" w:sz="4" w:space="0" w:color="auto"/>
            </w:tcBorders>
            <w:shd w:val="clear" w:color="auto" w:fill="auto"/>
          </w:tcPr>
          <w:p w:rsidR="00B53446" w:rsidRPr="000C0315" w:rsidRDefault="00B53446" w:rsidP="008A51EA">
            <w:pPr>
              <w:spacing w:line="240" w:lineRule="auto"/>
              <w:jc w:val="center"/>
              <w:rPr>
                <w:sz w:val="20"/>
                <w:szCs w:val="20"/>
              </w:rPr>
            </w:pPr>
            <w:r w:rsidRPr="000C0315">
              <w:rPr>
                <w:sz w:val="20"/>
                <w:szCs w:val="20"/>
              </w:rPr>
              <w:t>log2 (fold change)</w:t>
            </w:r>
          </w:p>
        </w:tc>
        <w:tc>
          <w:tcPr>
            <w:tcW w:w="965" w:type="dxa"/>
            <w:tcBorders>
              <w:top w:val="single" w:sz="4" w:space="0" w:color="auto"/>
              <w:bottom w:val="single" w:sz="4" w:space="0" w:color="auto"/>
            </w:tcBorders>
            <w:shd w:val="clear" w:color="auto" w:fill="auto"/>
          </w:tcPr>
          <w:p w:rsidR="00B53446" w:rsidRPr="000C0315" w:rsidRDefault="00B53446" w:rsidP="008A51EA">
            <w:pPr>
              <w:spacing w:line="240" w:lineRule="auto"/>
              <w:rPr>
                <w:sz w:val="20"/>
                <w:szCs w:val="20"/>
              </w:rPr>
            </w:pPr>
            <w:r w:rsidRPr="000C0315">
              <w:rPr>
                <w:sz w:val="20"/>
                <w:szCs w:val="20"/>
              </w:rPr>
              <w:t>q-value</w:t>
            </w:r>
          </w:p>
        </w:tc>
        <w:tc>
          <w:tcPr>
            <w:tcW w:w="3057" w:type="dxa"/>
            <w:tcBorders>
              <w:top w:val="single" w:sz="4" w:space="0" w:color="auto"/>
              <w:bottom w:val="single" w:sz="4" w:space="0" w:color="auto"/>
            </w:tcBorders>
            <w:shd w:val="clear" w:color="auto" w:fill="auto"/>
          </w:tcPr>
          <w:p w:rsidR="00B53446" w:rsidRPr="000C0315" w:rsidRDefault="00B53446" w:rsidP="008A51EA">
            <w:pPr>
              <w:spacing w:line="240" w:lineRule="auto"/>
              <w:rPr>
                <w:sz w:val="20"/>
                <w:szCs w:val="20"/>
              </w:rPr>
            </w:pPr>
            <w:r w:rsidRPr="000C0315">
              <w:rPr>
                <w:sz w:val="20"/>
                <w:szCs w:val="20"/>
              </w:rPr>
              <w:t>Gene function</w:t>
            </w:r>
          </w:p>
        </w:tc>
      </w:tr>
      <w:tr w:rsidR="00B53446" w:rsidRPr="00670B96" w:rsidTr="008A51EA">
        <w:trPr>
          <w:jc w:val="center"/>
        </w:trPr>
        <w:tc>
          <w:tcPr>
            <w:tcW w:w="9372" w:type="dxa"/>
            <w:gridSpan w:val="6"/>
            <w:tcBorders>
              <w:top w:val="single" w:sz="4" w:space="0" w:color="auto"/>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 xml:space="preserve">1. Phenylpropanoid pathway related </w:t>
            </w:r>
          </w:p>
        </w:tc>
      </w:tr>
      <w:tr w:rsidR="00B53446" w:rsidRPr="00670B96" w:rsidTr="008A51EA">
        <w:trPr>
          <w:trHeight w:val="545"/>
          <w:jc w:val="center"/>
        </w:trPr>
        <w:tc>
          <w:tcPr>
            <w:tcW w:w="1523" w:type="dxa"/>
            <w:tcBorders>
              <w:top w:val="single" w:sz="4" w:space="0" w:color="auto"/>
              <w:bottom w:val="single" w:sz="4" w:space="0" w:color="auto"/>
            </w:tcBorders>
            <w:shd w:val="clear" w:color="auto" w:fill="auto"/>
          </w:tcPr>
          <w:tbl>
            <w:tblPr>
              <w:tblW w:w="1701" w:type="dxa"/>
              <w:tblLayout w:type="fixed"/>
              <w:tblLook w:val="04A0" w:firstRow="1" w:lastRow="0" w:firstColumn="1" w:lastColumn="0" w:noHBand="0" w:noVBand="1"/>
            </w:tblPr>
            <w:tblGrid>
              <w:gridCol w:w="1701"/>
            </w:tblGrid>
            <w:tr w:rsidR="00B53446" w:rsidRPr="00670B96" w:rsidTr="008A51EA">
              <w:trPr>
                <w:trHeight w:val="300"/>
              </w:trPr>
              <w:tc>
                <w:tcPr>
                  <w:tcW w:w="1701" w:type="dxa"/>
                  <w:tcBorders>
                    <w:top w:val="nil"/>
                    <w:left w:val="nil"/>
                    <w:bottom w:val="nil"/>
                    <w:right w:val="nil"/>
                  </w:tcBorders>
                  <w:shd w:val="clear" w:color="auto" w:fill="auto"/>
                  <w:noWrap/>
                  <w:vAlign w:val="bottom"/>
                  <w:hideMark/>
                </w:tcPr>
                <w:p w:rsidR="00B53446" w:rsidRPr="00670B96" w:rsidRDefault="00B53446" w:rsidP="008A51EA">
                  <w:pPr>
                    <w:spacing w:line="240" w:lineRule="auto"/>
                    <w:ind w:hanging="108"/>
                    <w:rPr>
                      <w:rFonts w:eastAsia="Times New Roman"/>
                      <w:bCs/>
                      <w:color w:val="000000" w:themeColor="text1"/>
                      <w:sz w:val="20"/>
                      <w:szCs w:val="20"/>
                    </w:rPr>
                  </w:pPr>
                  <w:r w:rsidRPr="00670B96">
                    <w:rPr>
                      <w:rFonts w:eastAsia="Times New Roman"/>
                      <w:bCs/>
                      <w:color w:val="000000" w:themeColor="text1"/>
                      <w:sz w:val="20"/>
                      <w:szCs w:val="20"/>
                    </w:rPr>
                    <w:t>XLOC_001204</w:t>
                  </w:r>
                </w:p>
                <w:p w:rsidR="00B53446" w:rsidRPr="00670B96" w:rsidRDefault="00B53446" w:rsidP="008A51EA">
                  <w:pPr>
                    <w:spacing w:line="240" w:lineRule="auto"/>
                    <w:ind w:hanging="108"/>
                    <w:rPr>
                      <w:rFonts w:eastAsia="Times New Roman"/>
                      <w:color w:val="000000" w:themeColor="text1"/>
                      <w:sz w:val="20"/>
                      <w:szCs w:val="20"/>
                    </w:rPr>
                  </w:pPr>
                  <w:r w:rsidRPr="00670B96">
                    <w:rPr>
                      <w:rFonts w:eastAsia="Times New Roman"/>
                      <w:bCs/>
                      <w:color w:val="000000" w:themeColor="text1"/>
                      <w:sz w:val="20"/>
                      <w:szCs w:val="20"/>
                    </w:rPr>
                    <w:t>XLOC_002108</w:t>
                  </w:r>
                </w:p>
              </w:tc>
            </w:tr>
          </w:tbl>
          <w:p w:rsidR="00B53446" w:rsidRPr="00670B96" w:rsidRDefault="00B53446" w:rsidP="008A51EA">
            <w:pPr>
              <w:spacing w:line="240" w:lineRule="auto"/>
              <w:rPr>
                <w:sz w:val="20"/>
                <w:szCs w:val="20"/>
              </w:rPr>
            </w:pPr>
          </w:p>
        </w:tc>
        <w:tc>
          <w:tcPr>
            <w:tcW w:w="1417" w:type="dxa"/>
            <w:tcBorders>
              <w:top w:val="single" w:sz="4" w:space="0" w:color="auto"/>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O04892</w:t>
            </w:r>
            <w:r w:rsidRPr="00670B96">
              <w:rPr>
                <w:color w:val="000000"/>
                <w:sz w:val="20"/>
                <w:szCs w:val="20"/>
              </w:rPr>
              <w:t>A0A124SCB7</w:t>
            </w:r>
          </w:p>
        </w:tc>
        <w:tc>
          <w:tcPr>
            <w:tcW w:w="1276" w:type="dxa"/>
            <w:tcBorders>
              <w:top w:val="single" w:sz="4" w:space="0" w:color="auto"/>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CBS-UP</w:t>
            </w:r>
          </w:p>
          <w:p w:rsidR="00B53446" w:rsidRPr="00670B96" w:rsidRDefault="00B53446" w:rsidP="008A51EA">
            <w:pPr>
              <w:spacing w:line="240" w:lineRule="auto"/>
              <w:rPr>
                <w:sz w:val="20"/>
                <w:szCs w:val="20"/>
              </w:rPr>
            </w:pPr>
            <w:r w:rsidRPr="00670B96">
              <w:rPr>
                <w:sz w:val="20"/>
                <w:szCs w:val="20"/>
              </w:rPr>
              <w:t>CBS-UP</w:t>
            </w:r>
          </w:p>
        </w:tc>
        <w:tc>
          <w:tcPr>
            <w:tcW w:w="1134" w:type="dxa"/>
            <w:tcBorders>
              <w:top w:val="single" w:sz="4" w:space="0" w:color="auto"/>
              <w:bottom w:val="single" w:sz="4" w:space="0" w:color="auto"/>
            </w:tcBorders>
            <w:shd w:val="clear" w:color="auto" w:fill="auto"/>
          </w:tcPr>
          <w:p w:rsidR="00B53446" w:rsidRPr="00670B96" w:rsidRDefault="00B53446" w:rsidP="008A51EA">
            <w:pPr>
              <w:spacing w:line="240" w:lineRule="auto"/>
              <w:rPr>
                <w:bCs/>
                <w:color w:val="000000"/>
                <w:sz w:val="20"/>
                <w:szCs w:val="20"/>
              </w:rPr>
            </w:pPr>
            <w:r w:rsidRPr="00670B96">
              <w:rPr>
                <w:bCs/>
                <w:color w:val="000000"/>
                <w:sz w:val="20"/>
                <w:szCs w:val="20"/>
              </w:rPr>
              <w:t xml:space="preserve"> -              </w:t>
            </w:r>
          </w:p>
          <w:p w:rsidR="00B53446" w:rsidRPr="00670B96" w:rsidRDefault="00B53446" w:rsidP="008A51EA">
            <w:pPr>
              <w:spacing w:line="240" w:lineRule="auto"/>
              <w:rPr>
                <w:bCs/>
                <w:color w:val="000000"/>
                <w:sz w:val="20"/>
                <w:szCs w:val="20"/>
              </w:rPr>
            </w:pPr>
            <w:r w:rsidRPr="00670B96">
              <w:rPr>
                <w:bCs/>
                <w:color w:val="000000"/>
                <w:sz w:val="20"/>
                <w:szCs w:val="20"/>
              </w:rPr>
              <w:t xml:space="preserve"> -</w:t>
            </w:r>
          </w:p>
        </w:tc>
        <w:tc>
          <w:tcPr>
            <w:tcW w:w="965" w:type="dxa"/>
            <w:tcBorders>
              <w:top w:val="single" w:sz="4" w:space="0" w:color="auto"/>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0.007</w:t>
            </w:r>
          </w:p>
          <w:p w:rsidR="00B53446" w:rsidRPr="00670B96" w:rsidRDefault="00B53446" w:rsidP="008A51EA">
            <w:pPr>
              <w:spacing w:line="240" w:lineRule="auto"/>
              <w:rPr>
                <w:sz w:val="20"/>
                <w:szCs w:val="20"/>
              </w:rPr>
            </w:pPr>
            <w:r w:rsidRPr="00670B96">
              <w:rPr>
                <w:sz w:val="20"/>
                <w:szCs w:val="20"/>
              </w:rPr>
              <w:t>0.007</w:t>
            </w:r>
          </w:p>
        </w:tc>
        <w:tc>
          <w:tcPr>
            <w:tcW w:w="3057" w:type="dxa"/>
            <w:tcBorders>
              <w:top w:val="single" w:sz="4" w:space="0" w:color="auto"/>
              <w:bottom w:val="single" w:sz="4" w:space="0" w:color="auto"/>
            </w:tcBorders>
            <w:shd w:val="clear" w:color="auto" w:fill="auto"/>
          </w:tcPr>
          <w:p w:rsidR="00B53446" w:rsidRPr="00670B96" w:rsidRDefault="00B53446" w:rsidP="008A51EA">
            <w:pPr>
              <w:tabs>
                <w:tab w:val="left" w:pos="1309"/>
              </w:tabs>
              <w:spacing w:line="240" w:lineRule="auto"/>
              <w:rPr>
                <w:sz w:val="20"/>
                <w:szCs w:val="20"/>
              </w:rPr>
            </w:pPr>
            <w:r w:rsidRPr="00670B96">
              <w:rPr>
                <w:sz w:val="20"/>
                <w:szCs w:val="20"/>
              </w:rPr>
              <w:t>cytochrome P450</w:t>
            </w:r>
          </w:p>
          <w:p w:rsidR="00B53446" w:rsidRPr="00670B96" w:rsidRDefault="00B53446" w:rsidP="008A51EA">
            <w:pPr>
              <w:tabs>
                <w:tab w:val="left" w:pos="1309"/>
              </w:tabs>
              <w:spacing w:line="240" w:lineRule="auto"/>
              <w:rPr>
                <w:sz w:val="20"/>
                <w:szCs w:val="20"/>
              </w:rPr>
            </w:pPr>
            <w:r w:rsidRPr="00670B96">
              <w:rPr>
                <w:sz w:val="20"/>
                <w:szCs w:val="20"/>
              </w:rPr>
              <w:t>cytochrome P450</w:t>
            </w:r>
          </w:p>
        </w:tc>
      </w:tr>
      <w:tr w:rsidR="00B53446" w:rsidRPr="00670B96" w:rsidTr="008A51EA">
        <w:trPr>
          <w:jc w:val="center"/>
        </w:trPr>
        <w:tc>
          <w:tcPr>
            <w:tcW w:w="9372" w:type="dxa"/>
            <w:gridSpan w:val="6"/>
            <w:tcBorders>
              <w:top w:val="single" w:sz="4" w:space="0" w:color="auto"/>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2. Methyltransferases</w:t>
            </w:r>
          </w:p>
        </w:tc>
      </w:tr>
      <w:tr w:rsidR="00B53446" w:rsidRPr="00670B96" w:rsidTr="008A51EA">
        <w:trPr>
          <w:jc w:val="center"/>
        </w:trPr>
        <w:tc>
          <w:tcPr>
            <w:tcW w:w="1523" w:type="dxa"/>
            <w:tcBorders>
              <w:top w:val="single" w:sz="4" w:space="0" w:color="auto"/>
            </w:tcBorders>
            <w:shd w:val="clear" w:color="auto" w:fill="auto"/>
          </w:tcPr>
          <w:p w:rsidR="00B53446" w:rsidRPr="00670B96" w:rsidRDefault="00B53446" w:rsidP="008A51EA">
            <w:pPr>
              <w:spacing w:line="240" w:lineRule="auto"/>
              <w:rPr>
                <w:bCs/>
                <w:color w:val="000000" w:themeColor="text1"/>
                <w:sz w:val="20"/>
                <w:szCs w:val="20"/>
              </w:rPr>
            </w:pPr>
            <w:r w:rsidRPr="00670B96">
              <w:rPr>
                <w:bCs/>
                <w:color w:val="000000" w:themeColor="text1"/>
                <w:sz w:val="20"/>
                <w:szCs w:val="20"/>
              </w:rPr>
              <w:t>XLOC_001033</w:t>
            </w:r>
          </w:p>
          <w:p w:rsidR="00B53446" w:rsidRPr="00670B96" w:rsidRDefault="00B53446" w:rsidP="008A51EA">
            <w:pPr>
              <w:spacing w:line="240" w:lineRule="auto"/>
              <w:rPr>
                <w:rFonts w:eastAsia="Times New Roman"/>
                <w:color w:val="000000" w:themeColor="text1"/>
                <w:sz w:val="20"/>
                <w:szCs w:val="20"/>
              </w:rPr>
            </w:pPr>
            <w:r w:rsidRPr="00670B96">
              <w:rPr>
                <w:rFonts w:eastAsia="Times New Roman"/>
                <w:color w:val="000000" w:themeColor="text1"/>
                <w:sz w:val="20"/>
                <w:szCs w:val="20"/>
              </w:rPr>
              <w:t>XLOC_001843</w:t>
            </w:r>
          </w:p>
          <w:p w:rsidR="00B53446" w:rsidRPr="00670B96" w:rsidRDefault="00B53446" w:rsidP="008A51EA">
            <w:pPr>
              <w:spacing w:line="240" w:lineRule="auto"/>
              <w:rPr>
                <w:rFonts w:eastAsia="Times New Roman"/>
                <w:color w:val="000000" w:themeColor="text1"/>
                <w:sz w:val="20"/>
                <w:szCs w:val="20"/>
              </w:rPr>
            </w:pPr>
            <w:r w:rsidRPr="00670B96">
              <w:rPr>
                <w:rFonts w:eastAsia="Times New Roman"/>
                <w:color w:val="000000" w:themeColor="text1"/>
                <w:sz w:val="20"/>
                <w:szCs w:val="20"/>
              </w:rPr>
              <w:t>XLOC_000957</w:t>
            </w:r>
          </w:p>
          <w:p w:rsidR="00B53446" w:rsidRPr="00670B96" w:rsidRDefault="00B53446" w:rsidP="008A51EA">
            <w:pPr>
              <w:spacing w:line="240" w:lineRule="auto"/>
              <w:rPr>
                <w:rFonts w:eastAsia="Times New Roman"/>
                <w:bCs/>
                <w:color w:val="000000" w:themeColor="text1"/>
                <w:sz w:val="20"/>
                <w:szCs w:val="20"/>
              </w:rPr>
            </w:pPr>
            <w:r w:rsidRPr="00670B96">
              <w:rPr>
                <w:rFonts w:eastAsia="Times New Roman"/>
                <w:bCs/>
                <w:color w:val="000000" w:themeColor="text1"/>
                <w:sz w:val="20"/>
                <w:szCs w:val="20"/>
              </w:rPr>
              <w:t>XLOC_000735</w:t>
            </w:r>
          </w:p>
        </w:tc>
        <w:tc>
          <w:tcPr>
            <w:tcW w:w="1417" w:type="dxa"/>
            <w:tcBorders>
              <w:top w:val="single" w:sz="4" w:space="0" w:color="auto"/>
            </w:tcBorders>
            <w:shd w:val="clear" w:color="auto" w:fill="auto"/>
          </w:tcPr>
          <w:p w:rsidR="00B53446" w:rsidRPr="00670B96" w:rsidRDefault="000138DC" w:rsidP="008A51EA">
            <w:pPr>
              <w:spacing w:line="240" w:lineRule="auto"/>
              <w:rPr>
                <w:sz w:val="20"/>
                <w:szCs w:val="20"/>
              </w:rPr>
            </w:pPr>
            <w:hyperlink r:id="rId60" w:history="1">
              <w:r w:rsidR="00B53446" w:rsidRPr="00670B96">
                <w:rPr>
                  <w:rFonts w:eastAsia="Times New Roman"/>
                  <w:color w:val="000000" w:themeColor="text1"/>
                  <w:sz w:val="20"/>
                  <w:szCs w:val="20"/>
                </w:rPr>
                <w:t>B9SGP1</w:t>
              </w:r>
            </w:hyperlink>
          </w:p>
          <w:p w:rsidR="00B53446" w:rsidRPr="00670B96" w:rsidRDefault="00B53446" w:rsidP="008A51EA">
            <w:pPr>
              <w:spacing w:line="240" w:lineRule="auto"/>
              <w:rPr>
                <w:rFonts w:eastAsia="Times New Roman"/>
                <w:color w:val="000000" w:themeColor="text1"/>
                <w:sz w:val="20"/>
                <w:szCs w:val="20"/>
              </w:rPr>
            </w:pPr>
            <w:r w:rsidRPr="00670B96">
              <w:rPr>
                <w:rFonts w:eastAsia="Times New Roman"/>
                <w:color w:val="000000" w:themeColor="text1"/>
                <w:sz w:val="20"/>
                <w:szCs w:val="20"/>
              </w:rPr>
              <w:t>K4CXY9</w:t>
            </w:r>
          </w:p>
          <w:p w:rsidR="00B53446" w:rsidRPr="00670B96" w:rsidRDefault="000138DC" w:rsidP="008A51EA">
            <w:pPr>
              <w:spacing w:line="240" w:lineRule="auto"/>
              <w:rPr>
                <w:sz w:val="20"/>
                <w:szCs w:val="20"/>
              </w:rPr>
            </w:pPr>
            <w:hyperlink r:id="rId61" w:history="1">
              <w:r w:rsidR="00B53446" w:rsidRPr="00670B96">
                <w:rPr>
                  <w:rFonts w:eastAsia="Times New Roman"/>
                  <w:color w:val="000000" w:themeColor="text1"/>
                  <w:sz w:val="20"/>
                  <w:szCs w:val="20"/>
                </w:rPr>
                <w:t>Q5DNB1</w:t>
              </w:r>
            </w:hyperlink>
          </w:p>
          <w:p w:rsidR="00B53446" w:rsidRPr="00670B96" w:rsidRDefault="000138DC" w:rsidP="008A51EA">
            <w:pPr>
              <w:spacing w:line="240" w:lineRule="auto"/>
              <w:rPr>
                <w:sz w:val="20"/>
                <w:szCs w:val="20"/>
              </w:rPr>
            </w:pPr>
            <w:hyperlink r:id="rId62" w:history="1">
              <w:r w:rsidR="00B53446" w:rsidRPr="00670B96">
                <w:rPr>
                  <w:rFonts w:eastAsia="Times New Roman"/>
                  <w:color w:val="000000" w:themeColor="text1"/>
                  <w:sz w:val="20"/>
                  <w:szCs w:val="20"/>
                </w:rPr>
                <w:t>F6H5H8</w:t>
              </w:r>
            </w:hyperlink>
          </w:p>
        </w:tc>
        <w:tc>
          <w:tcPr>
            <w:tcW w:w="1276"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CBS-UP</w:t>
            </w:r>
          </w:p>
          <w:p w:rsidR="00B53446" w:rsidRPr="00670B96" w:rsidRDefault="00B53446" w:rsidP="008A51EA">
            <w:pPr>
              <w:spacing w:line="240" w:lineRule="auto"/>
              <w:rPr>
                <w:sz w:val="20"/>
                <w:szCs w:val="20"/>
              </w:rPr>
            </w:pPr>
            <w:r w:rsidRPr="00670B96">
              <w:rPr>
                <w:sz w:val="20"/>
                <w:szCs w:val="20"/>
              </w:rPr>
              <w:t>CBS-UP</w:t>
            </w:r>
          </w:p>
          <w:p w:rsidR="00B53446" w:rsidRPr="00670B96" w:rsidRDefault="00B53446" w:rsidP="008A51EA">
            <w:pPr>
              <w:spacing w:line="240" w:lineRule="auto"/>
              <w:rPr>
                <w:sz w:val="20"/>
                <w:szCs w:val="20"/>
              </w:rPr>
            </w:pPr>
            <w:r w:rsidRPr="00670B96">
              <w:rPr>
                <w:sz w:val="20"/>
                <w:szCs w:val="20"/>
              </w:rPr>
              <w:t>CBS-UP</w:t>
            </w:r>
          </w:p>
          <w:p w:rsidR="00B53446" w:rsidRPr="00670B96" w:rsidRDefault="00B53446" w:rsidP="008A51EA">
            <w:pPr>
              <w:spacing w:line="240" w:lineRule="auto"/>
              <w:rPr>
                <w:sz w:val="20"/>
                <w:szCs w:val="20"/>
              </w:rPr>
            </w:pPr>
            <w:r w:rsidRPr="00670B96">
              <w:rPr>
                <w:sz w:val="20"/>
                <w:szCs w:val="20"/>
              </w:rPr>
              <w:t>CBS-UP</w:t>
            </w:r>
          </w:p>
        </w:tc>
        <w:tc>
          <w:tcPr>
            <w:tcW w:w="1134"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 xml:space="preserve">-        </w:t>
            </w:r>
          </w:p>
          <w:p w:rsidR="00B53446" w:rsidRPr="00670B96" w:rsidRDefault="00B53446" w:rsidP="008A51EA">
            <w:pPr>
              <w:spacing w:line="240" w:lineRule="auto"/>
              <w:rPr>
                <w:sz w:val="20"/>
                <w:szCs w:val="20"/>
              </w:rPr>
            </w:pPr>
            <w:r w:rsidRPr="00670B96">
              <w:rPr>
                <w:sz w:val="20"/>
                <w:szCs w:val="20"/>
              </w:rPr>
              <w:t xml:space="preserve">3.05  </w:t>
            </w:r>
          </w:p>
          <w:p w:rsidR="00B53446" w:rsidRPr="00670B96" w:rsidRDefault="00B53446" w:rsidP="008A51EA">
            <w:pPr>
              <w:spacing w:line="240" w:lineRule="auto"/>
              <w:rPr>
                <w:sz w:val="20"/>
                <w:szCs w:val="20"/>
              </w:rPr>
            </w:pPr>
            <w:r w:rsidRPr="00670B96">
              <w:rPr>
                <w:sz w:val="20"/>
                <w:szCs w:val="20"/>
              </w:rPr>
              <w:t xml:space="preserve">1.78       </w:t>
            </w:r>
          </w:p>
          <w:p w:rsidR="00B53446" w:rsidRPr="00670B96" w:rsidRDefault="00B53446" w:rsidP="008A51EA">
            <w:pPr>
              <w:spacing w:line="240" w:lineRule="auto"/>
              <w:rPr>
                <w:sz w:val="20"/>
                <w:szCs w:val="20"/>
              </w:rPr>
            </w:pPr>
            <w:r w:rsidRPr="00670B96">
              <w:rPr>
                <w:sz w:val="20"/>
                <w:szCs w:val="20"/>
              </w:rPr>
              <w:t xml:space="preserve"> -</w:t>
            </w:r>
          </w:p>
        </w:tc>
        <w:tc>
          <w:tcPr>
            <w:tcW w:w="965"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0.006</w:t>
            </w:r>
          </w:p>
          <w:p w:rsidR="00B53446" w:rsidRPr="00670B96" w:rsidRDefault="00B53446" w:rsidP="008A51EA">
            <w:pPr>
              <w:spacing w:line="240" w:lineRule="auto"/>
              <w:rPr>
                <w:sz w:val="20"/>
                <w:szCs w:val="20"/>
              </w:rPr>
            </w:pPr>
            <w:r w:rsidRPr="00670B96">
              <w:rPr>
                <w:sz w:val="20"/>
                <w:szCs w:val="20"/>
              </w:rPr>
              <w:t>0.002</w:t>
            </w:r>
          </w:p>
          <w:p w:rsidR="00B53446" w:rsidRPr="00670B96" w:rsidRDefault="00B53446" w:rsidP="008A51EA">
            <w:pPr>
              <w:spacing w:line="240" w:lineRule="auto"/>
              <w:rPr>
                <w:sz w:val="20"/>
                <w:szCs w:val="20"/>
              </w:rPr>
            </w:pPr>
            <w:r w:rsidRPr="00670B96">
              <w:rPr>
                <w:sz w:val="20"/>
                <w:szCs w:val="20"/>
              </w:rPr>
              <w:t>0.013</w:t>
            </w:r>
          </w:p>
          <w:p w:rsidR="00B53446" w:rsidRPr="00670B96" w:rsidRDefault="00B53446" w:rsidP="008A51EA">
            <w:pPr>
              <w:spacing w:line="240" w:lineRule="auto"/>
              <w:rPr>
                <w:sz w:val="20"/>
                <w:szCs w:val="20"/>
              </w:rPr>
            </w:pPr>
            <w:r w:rsidRPr="00670B96">
              <w:rPr>
                <w:sz w:val="20"/>
                <w:szCs w:val="20"/>
              </w:rPr>
              <w:t>0.006</w:t>
            </w:r>
          </w:p>
        </w:tc>
        <w:tc>
          <w:tcPr>
            <w:tcW w:w="3057" w:type="dxa"/>
            <w:tcBorders>
              <w:top w:val="single" w:sz="4" w:space="0" w:color="auto"/>
            </w:tcBorders>
            <w:shd w:val="clear" w:color="auto" w:fill="auto"/>
          </w:tcPr>
          <w:p w:rsidR="00B53446" w:rsidRPr="00670B96" w:rsidRDefault="00B53446" w:rsidP="008A51EA">
            <w:pPr>
              <w:spacing w:line="240" w:lineRule="auto"/>
              <w:jc w:val="left"/>
              <w:rPr>
                <w:sz w:val="20"/>
                <w:szCs w:val="20"/>
              </w:rPr>
            </w:pPr>
            <w:r w:rsidRPr="00670B96">
              <w:rPr>
                <w:i/>
                <w:sz w:val="20"/>
                <w:szCs w:val="20"/>
              </w:rPr>
              <w:t>O</w:t>
            </w:r>
            <w:r w:rsidRPr="00670B96">
              <w:rPr>
                <w:sz w:val="20"/>
                <w:szCs w:val="20"/>
              </w:rPr>
              <w:t xml:space="preserve">-methyltransferase     </w:t>
            </w:r>
          </w:p>
          <w:p w:rsidR="00B53446" w:rsidRPr="00670B96" w:rsidRDefault="00B53446" w:rsidP="008A51EA">
            <w:pPr>
              <w:spacing w:line="240" w:lineRule="auto"/>
              <w:jc w:val="left"/>
              <w:rPr>
                <w:sz w:val="20"/>
                <w:szCs w:val="20"/>
              </w:rPr>
            </w:pPr>
            <w:r w:rsidRPr="00670B96">
              <w:rPr>
                <w:i/>
                <w:sz w:val="20"/>
                <w:szCs w:val="20"/>
              </w:rPr>
              <w:t>O</w:t>
            </w:r>
            <w:r w:rsidRPr="00670B96">
              <w:rPr>
                <w:sz w:val="20"/>
                <w:szCs w:val="20"/>
              </w:rPr>
              <w:t xml:space="preserve">-methyltransferase     </w:t>
            </w:r>
          </w:p>
          <w:p w:rsidR="00B53446" w:rsidRPr="00670B96" w:rsidRDefault="00B53446" w:rsidP="008A51EA">
            <w:pPr>
              <w:spacing w:line="240" w:lineRule="auto"/>
              <w:jc w:val="left"/>
              <w:rPr>
                <w:sz w:val="20"/>
                <w:szCs w:val="20"/>
              </w:rPr>
            </w:pPr>
            <w:r w:rsidRPr="00670B96">
              <w:rPr>
                <w:sz w:val="20"/>
                <w:szCs w:val="20"/>
              </w:rPr>
              <w:t xml:space="preserve"> </w:t>
            </w:r>
            <w:r w:rsidRPr="00670B96">
              <w:rPr>
                <w:i/>
                <w:sz w:val="20"/>
                <w:szCs w:val="20"/>
              </w:rPr>
              <w:t>S</w:t>
            </w:r>
            <w:r w:rsidRPr="00670B96">
              <w:rPr>
                <w:sz w:val="20"/>
                <w:szCs w:val="20"/>
              </w:rPr>
              <w:t xml:space="preserve">-adenosylmethionine synthase                        </w:t>
            </w:r>
            <w:r w:rsidRPr="00670B96">
              <w:rPr>
                <w:i/>
                <w:sz w:val="20"/>
                <w:szCs w:val="20"/>
              </w:rPr>
              <w:t>O</w:t>
            </w:r>
            <w:r w:rsidRPr="00670B96">
              <w:rPr>
                <w:sz w:val="20"/>
                <w:szCs w:val="20"/>
              </w:rPr>
              <w:t xml:space="preserve">-methyltransferase </w:t>
            </w:r>
          </w:p>
        </w:tc>
      </w:tr>
      <w:tr w:rsidR="00B53446" w:rsidRPr="00670B96" w:rsidTr="008A51EA">
        <w:trPr>
          <w:jc w:val="center"/>
        </w:trPr>
        <w:tc>
          <w:tcPr>
            <w:tcW w:w="1523"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XLOC_002003</w:t>
            </w:r>
          </w:p>
          <w:p w:rsidR="00B53446" w:rsidRPr="00670B96" w:rsidRDefault="00B53446" w:rsidP="008A51EA">
            <w:pPr>
              <w:spacing w:line="240" w:lineRule="auto"/>
              <w:rPr>
                <w:sz w:val="20"/>
                <w:szCs w:val="20"/>
              </w:rPr>
            </w:pPr>
            <w:r w:rsidRPr="00670B96">
              <w:rPr>
                <w:sz w:val="20"/>
                <w:szCs w:val="20"/>
              </w:rPr>
              <w:t>XLOC_000918</w:t>
            </w:r>
          </w:p>
        </w:tc>
        <w:tc>
          <w:tcPr>
            <w:tcW w:w="1417"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A0A0P0YCT2</w:t>
            </w:r>
            <w:hyperlink r:id="rId63" w:history="1">
              <w:r w:rsidRPr="00670B96">
                <w:rPr>
                  <w:rStyle w:val="Hyperlink"/>
                  <w:color w:val="000000" w:themeColor="text1"/>
                  <w:sz w:val="20"/>
                  <w:szCs w:val="20"/>
                  <w:u w:val="none"/>
                  <w:shd w:val="clear" w:color="auto" w:fill="FFFFFF"/>
                </w:rPr>
                <w:t>A0A0V0I0R3</w:t>
              </w:r>
            </w:hyperlink>
          </w:p>
        </w:tc>
        <w:tc>
          <w:tcPr>
            <w:tcW w:w="1276"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CAL-UP</w:t>
            </w:r>
          </w:p>
          <w:p w:rsidR="00B53446" w:rsidRPr="00670B96" w:rsidRDefault="00B53446" w:rsidP="008A51EA">
            <w:pPr>
              <w:spacing w:line="240" w:lineRule="auto"/>
              <w:rPr>
                <w:sz w:val="20"/>
                <w:szCs w:val="20"/>
              </w:rPr>
            </w:pPr>
            <w:r w:rsidRPr="00670B96">
              <w:rPr>
                <w:sz w:val="20"/>
                <w:szCs w:val="20"/>
              </w:rPr>
              <w:t>CAL-UP</w:t>
            </w:r>
          </w:p>
        </w:tc>
        <w:tc>
          <w:tcPr>
            <w:tcW w:w="1134"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 xml:space="preserve">2.01    </w:t>
            </w:r>
          </w:p>
          <w:p w:rsidR="00B53446" w:rsidRPr="00670B96" w:rsidRDefault="00B53446" w:rsidP="008A51EA">
            <w:pPr>
              <w:spacing w:line="240" w:lineRule="auto"/>
              <w:rPr>
                <w:sz w:val="20"/>
                <w:szCs w:val="20"/>
              </w:rPr>
            </w:pPr>
            <w:r w:rsidRPr="00670B96">
              <w:rPr>
                <w:sz w:val="20"/>
                <w:szCs w:val="20"/>
              </w:rPr>
              <w:t xml:space="preserve"> - </w:t>
            </w:r>
          </w:p>
        </w:tc>
        <w:tc>
          <w:tcPr>
            <w:tcW w:w="965"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0.011 0.0006</w:t>
            </w:r>
          </w:p>
        </w:tc>
        <w:tc>
          <w:tcPr>
            <w:tcW w:w="3057"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S-methyltransferase      hydroquinone methyltransferase</w:t>
            </w:r>
          </w:p>
        </w:tc>
      </w:tr>
      <w:tr w:rsidR="00B53446" w:rsidRPr="00670B96" w:rsidTr="008A51EA">
        <w:trPr>
          <w:jc w:val="center"/>
        </w:trPr>
        <w:tc>
          <w:tcPr>
            <w:tcW w:w="9372" w:type="dxa"/>
            <w:gridSpan w:val="6"/>
            <w:tcBorders>
              <w:top w:val="single" w:sz="4" w:space="0" w:color="auto"/>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3. NADP/ NADPH related</w:t>
            </w:r>
          </w:p>
        </w:tc>
      </w:tr>
      <w:tr w:rsidR="00B53446" w:rsidRPr="00670B96" w:rsidTr="008A51EA">
        <w:trPr>
          <w:jc w:val="center"/>
        </w:trPr>
        <w:tc>
          <w:tcPr>
            <w:tcW w:w="1523" w:type="dxa"/>
            <w:tcBorders>
              <w:top w:val="single" w:sz="4" w:space="0" w:color="auto"/>
            </w:tcBorders>
            <w:shd w:val="clear" w:color="auto" w:fill="auto"/>
          </w:tcPr>
          <w:p w:rsidR="00B53446" w:rsidRPr="00670B96" w:rsidRDefault="00B53446" w:rsidP="008A51EA">
            <w:pPr>
              <w:spacing w:line="240" w:lineRule="auto"/>
              <w:rPr>
                <w:color w:val="000000"/>
                <w:sz w:val="20"/>
                <w:szCs w:val="20"/>
              </w:rPr>
            </w:pPr>
            <w:r w:rsidRPr="00670B96">
              <w:rPr>
                <w:color w:val="000000"/>
                <w:sz w:val="20"/>
                <w:szCs w:val="20"/>
              </w:rPr>
              <w:t>XLOC_000518</w:t>
            </w:r>
          </w:p>
          <w:p w:rsidR="00B53446" w:rsidRPr="00670B96" w:rsidRDefault="00B53446" w:rsidP="008A51EA">
            <w:pPr>
              <w:spacing w:line="240" w:lineRule="auto"/>
              <w:rPr>
                <w:color w:val="000000"/>
                <w:sz w:val="20"/>
                <w:szCs w:val="20"/>
              </w:rPr>
            </w:pPr>
            <w:r w:rsidRPr="00670B96">
              <w:rPr>
                <w:color w:val="000000"/>
                <w:sz w:val="20"/>
                <w:szCs w:val="20"/>
              </w:rPr>
              <w:t>XLOC_001407</w:t>
            </w:r>
          </w:p>
        </w:tc>
        <w:tc>
          <w:tcPr>
            <w:tcW w:w="1417"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B9T8W8</w:t>
            </w:r>
          </w:p>
          <w:p w:rsidR="00B53446" w:rsidRPr="00670B96" w:rsidRDefault="000138DC" w:rsidP="008A51EA">
            <w:pPr>
              <w:spacing w:line="240" w:lineRule="auto"/>
              <w:rPr>
                <w:sz w:val="20"/>
                <w:szCs w:val="20"/>
              </w:rPr>
            </w:pPr>
            <w:hyperlink r:id="rId64" w:history="1">
              <w:r w:rsidR="00B53446" w:rsidRPr="00670B96">
                <w:rPr>
                  <w:rStyle w:val="Hyperlink"/>
                  <w:color w:val="000000" w:themeColor="text1"/>
                  <w:sz w:val="20"/>
                  <w:szCs w:val="20"/>
                  <w:u w:val="none"/>
                  <w:shd w:val="clear" w:color="auto" w:fill="FFFFFF"/>
                </w:rPr>
                <w:t>Q9SLN8</w:t>
              </w:r>
            </w:hyperlink>
          </w:p>
        </w:tc>
        <w:tc>
          <w:tcPr>
            <w:tcW w:w="1276"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CBS-UP</w:t>
            </w:r>
          </w:p>
          <w:p w:rsidR="00B53446" w:rsidRPr="00670B96" w:rsidRDefault="00B53446" w:rsidP="008A51EA">
            <w:pPr>
              <w:spacing w:line="240" w:lineRule="auto"/>
              <w:rPr>
                <w:sz w:val="20"/>
                <w:szCs w:val="20"/>
              </w:rPr>
            </w:pPr>
            <w:r w:rsidRPr="00670B96">
              <w:rPr>
                <w:sz w:val="20"/>
                <w:szCs w:val="20"/>
              </w:rPr>
              <w:t>CBS-UP</w:t>
            </w:r>
          </w:p>
        </w:tc>
        <w:tc>
          <w:tcPr>
            <w:tcW w:w="1134"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 xml:space="preserve">2.11  </w:t>
            </w:r>
          </w:p>
          <w:p w:rsidR="00B53446" w:rsidRPr="00670B96" w:rsidRDefault="00B53446" w:rsidP="008A51EA">
            <w:pPr>
              <w:spacing w:line="240" w:lineRule="auto"/>
              <w:rPr>
                <w:sz w:val="20"/>
                <w:szCs w:val="20"/>
              </w:rPr>
            </w:pPr>
            <w:r w:rsidRPr="00670B96">
              <w:rPr>
                <w:sz w:val="20"/>
                <w:szCs w:val="20"/>
              </w:rPr>
              <w:t>2.18</w:t>
            </w:r>
          </w:p>
        </w:tc>
        <w:tc>
          <w:tcPr>
            <w:tcW w:w="965"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0.004</w:t>
            </w:r>
          </w:p>
          <w:p w:rsidR="00B53446" w:rsidRPr="00670B96" w:rsidRDefault="00B53446" w:rsidP="008A51EA">
            <w:pPr>
              <w:spacing w:line="240" w:lineRule="auto"/>
              <w:rPr>
                <w:sz w:val="20"/>
                <w:szCs w:val="20"/>
              </w:rPr>
            </w:pPr>
            <w:r w:rsidRPr="00670B96">
              <w:rPr>
                <w:sz w:val="20"/>
                <w:szCs w:val="20"/>
              </w:rPr>
              <w:t>0.006</w:t>
            </w:r>
          </w:p>
        </w:tc>
        <w:tc>
          <w:tcPr>
            <w:tcW w:w="3057" w:type="dxa"/>
            <w:tcBorders>
              <w:top w:val="single" w:sz="4" w:space="0" w:color="auto"/>
            </w:tcBorders>
            <w:shd w:val="clear" w:color="auto" w:fill="auto"/>
          </w:tcPr>
          <w:p w:rsidR="00B53446" w:rsidRPr="00670B96" w:rsidRDefault="00B53446" w:rsidP="008A51EA">
            <w:pPr>
              <w:spacing w:line="240" w:lineRule="auto"/>
              <w:jc w:val="left"/>
              <w:rPr>
                <w:sz w:val="20"/>
                <w:szCs w:val="20"/>
              </w:rPr>
            </w:pPr>
            <w:r w:rsidRPr="00670B96">
              <w:rPr>
                <w:sz w:val="20"/>
                <w:szCs w:val="20"/>
              </w:rPr>
              <w:t xml:space="preserve">NADH dehydrogenase </w:t>
            </w:r>
          </w:p>
          <w:p w:rsidR="00B53446" w:rsidRPr="00670B96" w:rsidRDefault="00B53446" w:rsidP="008A51EA">
            <w:pPr>
              <w:spacing w:line="240" w:lineRule="auto"/>
              <w:jc w:val="left"/>
              <w:rPr>
                <w:sz w:val="20"/>
                <w:szCs w:val="20"/>
              </w:rPr>
            </w:pPr>
            <w:r w:rsidRPr="00670B96">
              <w:rPr>
                <w:sz w:val="20"/>
                <w:szCs w:val="20"/>
              </w:rPr>
              <w:t>(NADP(+) reductase</w:t>
            </w:r>
          </w:p>
        </w:tc>
      </w:tr>
      <w:tr w:rsidR="00B53446" w:rsidRPr="00670B96" w:rsidTr="008A51EA">
        <w:trPr>
          <w:jc w:val="center"/>
        </w:trPr>
        <w:tc>
          <w:tcPr>
            <w:tcW w:w="1523" w:type="dxa"/>
            <w:tcBorders>
              <w:bottom w:val="single" w:sz="4" w:space="0" w:color="auto"/>
            </w:tcBorders>
            <w:shd w:val="clear" w:color="auto" w:fill="auto"/>
          </w:tcPr>
          <w:p w:rsidR="00B53446" w:rsidRPr="00670B96" w:rsidRDefault="00B53446" w:rsidP="008A51EA">
            <w:pPr>
              <w:spacing w:line="240" w:lineRule="auto"/>
              <w:rPr>
                <w:color w:val="000000"/>
                <w:sz w:val="20"/>
                <w:szCs w:val="20"/>
              </w:rPr>
            </w:pPr>
            <w:r w:rsidRPr="00670B96">
              <w:rPr>
                <w:color w:val="000000"/>
                <w:sz w:val="20"/>
                <w:szCs w:val="20"/>
              </w:rPr>
              <w:t>XLOC_001713</w:t>
            </w:r>
          </w:p>
        </w:tc>
        <w:tc>
          <w:tcPr>
            <w:tcW w:w="1417"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E5G6F3</w:t>
            </w:r>
          </w:p>
        </w:tc>
        <w:tc>
          <w:tcPr>
            <w:tcW w:w="1276"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CAL-UP</w:t>
            </w:r>
          </w:p>
        </w:tc>
        <w:tc>
          <w:tcPr>
            <w:tcW w:w="1134"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3.05</w:t>
            </w:r>
          </w:p>
        </w:tc>
        <w:tc>
          <w:tcPr>
            <w:tcW w:w="965"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0.049</w:t>
            </w:r>
          </w:p>
        </w:tc>
        <w:tc>
          <w:tcPr>
            <w:tcW w:w="3057" w:type="dxa"/>
            <w:tcBorders>
              <w:bottom w:val="single" w:sz="4" w:space="0" w:color="auto"/>
            </w:tcBorders>
            <w:shd w:val="clear" w:color="auto" w:fill="auto"/>
          </w:tcPr>
          <w:p w:rsidR="00B53446" w:rsidRPr="00670B96" w:rsidRDefault="00B53446" w:rsidP="008A51EA">
            <w:pPr>
              <w:spacing w:line="240" w:lineRule="auto"/>
              <w:jc w:val="left"/>
              <w:rPr>
                <w:sz w:val="20"/>
                <w:szCs w:val="20"/>
              </w:rPr>
            </w:pPr>
            <w:r w:rsidRPr="00670B96">
              <w:rPr>
                <w:sz w:val="20"/>
                <w:szCs w:val="20"/>
              </w:rPr>
              <w:t>NAD/ NADP binding</w:t>
            </w:r>
          </w:p>
        </w:tc>
      </w:tr>
      <w:tr w:rsidR="00B53446" w:rsidRPr="00670B96" w:rsidTr="008A51EA">
        <w:trPr>
          <w:jc w:val="center"/>
        </w:trPr>
        <w:tc>
          <w:tcPr>
            <w:tcW w:w="9372" w:type="dxa"/>
            <w:gridSpan w:val="6"/>
            <w:tcBorders>
              <w:top w:val="single" w:sz="4" w:space="0" w:color="auto"/>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4. Oxidoreductase activity related</w:t>
            </w:r>
          </w:p>
        </w:tc>
      </w:tr>
      <w:tr w:rsidR="00B53446" w:rsidRPr="00670B96" w:rsidTr="008A51EA">
        <w:trPr>
          <w:jc w:val="center"/>
        </w:trPr>
        <w:tc>
          <w:tcPr>
            <w:tcW w:w="1523" w:type="dxa"/>
            <w:tcBorders>
              <w:top w:val="single" w:sz="4" w:space="0" w:color="auto"/>
            </w:tcBorders>
            <w:shd w:val="clear" w:color="auto" w:fill="auto"/>
          </w:tcPr>
          <w:tbl>
            <w:tblPr>
              <w:tblW w:w="1780" w:type="dxa"/>
              <w:tblLayout w:type="fixed"/>
              <w:tblLook w:val="04A0" w:firstRow="1" w:lastRow="0" w:firstColumn="1" w:lastColumn="0" w:noHBand="0" w:noVBand="1"/>
            </w:tblPr>
            <w:tblGrid>
              <w:gridCol w:w="1780"/>
            </w:tblGrid>
            <w:tr w:rsidR="00B53446" w:rsidRPr="00670B96" w:rsidTr="008A51EA">
              <w:trPr>
                <w:trHeight w:val="300"/>
              </w:trPr>
              <w:tc>
                <w:tcPr>
                  <w:tcW w:w="1780" w:type="dxa"/>
                  <w:tcBorders>
                    <w:top w:val="nil"/>
                    <w:left w:val="nil"/>
                    <w:bottom w:val="nil"/>
                    <w:right w:val="nil"/>
                  </w:tcBorders>
                  <w:shd w:val="clear" w:color="auto" w:fill="auto"/>
                  <w:noWrap/>
                  <w:vAlign w:val="bottom"/>
                  <w:hideMark/>
                </w:tcPr>
                <w:p w:rsidR="00B53446" w:rsidRPr="00670B96" w:rsidRDefault="00B53446" w:rsidP="008A51EA">
                  <w:pPr>
                    <w:spacing w:line="240" w:lineRule="auto"/>
                    <w:ind w:hanging="108"/>
                    <w:rPr>
                      <w:rFonts w:eastAsia="Times New Roman"/>
                      <w:color w:val="000000"/>
                      <w:sz w:val="20"/>
                      <w:szCs w:val="20"/>
                    </w:rPr>
                  </w:pPr>
                  <w:r w:rsidRPr="00670B96">
                    <w:rPr>
                      <w:rFonts w:eastAsia="Times New Roman"/>
                      <w:color w:val="000000"/>
                      <w:sz w:val="20"/>
                      <w:szCs w:val="20"/>
                    </w:rPr>
                    <w:t>XLOC_001731</w:t>
                  </w:r>
                </w:p>
                <w:p w:rsidR="00B53446" w:rsidRPr="00670B96" w:rsidRDefault="00B53446" w:rsidP="008A51EA">
                  <w:pPr>
                    <w:spacing w:line="240" w:lineRule="auto"/>
                    <w:ind w:hanging="108"/>
                    <w:rPr>
                      <w:rFonts w:eastAsia="Times New Roman"/>
                      <w:color w:val="000000"/>
                      <w:sz w:val="20"/>
                      <w:szCs w:val="20"/>
                    </w:rPr>
                  </w:pPr>
                  <w:r w:rsidRPr="00670B96">
                    <w:rPr>
                      <w:rFonts w:eastAsia="Times New Roman"/>
                      <w:color w:val="000000"/>
                      <w:sz w:val="20"/>
                      <w:szCs w:val="20"/>
                    </w:rPr>
                    <w:t>XLOC_001235</w:t>
                  </w:r>
                </w:p>
                <w:p w:rsidR="00B53446" w:rsidRPr="00670B96" w:rsidRDefault="00B53446" w:rsidP="008A51EA">
                  <w:pPr>
                    <w:spacing w:line="240" w:lineRule="auto"/>
                    <w:ind w:hanging="108"/>
                    <w:rPr>
                      <w:rFonts w:eastAsia="Times New Roman"/>
                      <w:color w:val="000000"/>
                      <w:sz w:val="20"/>
                      <w:szCs w:val="20"/>
                    </w:rPr>
                  </w:pPr>
                  <w:r w:rsidRPr="00670B96">
                    <w:rPr>
                      <w:rFonts w:eastAsia="Times New Roman"/>
                      <w:color w:val="000000"/>
                      <w:sz w:val="20"/>
                      <w:szCs w:val="20"/>
                    </w:rPr>
                    <w:t>XLOC_001407</w:t>
                  </w:r>
                </w:p>
              </w:tc>
            </w:tr>
          </w:tbl>
          <w:p w:rsidR="00B53446" w:rsidRPr="00670B96" w:rsidRDefault="00B53446" w:rsidP="008A51EA">
            <w:pPr>
              <w:spacing w:line="240" w:lineRule="auto"/>
              <w:rPr>
                <w:sz w:val="20"/>
                <w:szCs w:val="20"/>
              </w:rPr>
            </w:pPr>
          </w:p>
        </w:tc>
        <w:tc>
          <w:tcPr>
            <w:tcW w:w="1417" w:type="dxa"/>
            <w:tcBorders>
              <w:top w:val="single" w:sz="4" w:space="0" w:color="auto"/>
            </w:tcBorders>
            <w:shd w:val="clear" w:color="auto" w:fill="auto"/>
          </w:tcPr>
          <w:p w:rsidR="00B53446" w:rsidRPr="00670B96" w:rsidRDefault="00B53446" w:rsidP="008A51EA">
            <w:pPr>
              <w:spacing w:line="240" w:lineRule="auto"/>
              <w:rPr>
                <w:rFonts w:eastAsia="Times New Roman"/>
                <w:color w:val="000000" w:themeColor="text1"/>
                <w:sz w:val="20"/>
                <w:szCs w:val="20"/>
              </w:rPr>
            </w:pPr>
            <w:r w:rsidRPr="00670B96">
              <w:rPr>
                <w:rFonts w:eastAsia="Times New Roman"/>
                <w:color w:val="000000" w:themeColor="text1"/>
                <w:sz w:val="20"/>
                <w:szCs w:val="20"/>
              </w:rPr>
              <w:t>Q9AV39</w:t>
            </w:r>
          </w:p>
          <w:p w:rsidR="00B53446" w:rsidRPr="00670B96" w:rsidRDefault="000138DC" w:rsidP="008A51EA">
            <w:pPr>
              <w:spacing w:line="240" w:lineRule="auto"/>
              <w:rPr>
                <w:sz w:val="20"/>
                <w:szCs w:val="20"/>
              </w:rPr>
            </w:pPr>
            <w:hyperlink r:id="rId65" w:history="1">
              <w:r w:rsidR="00B53446" w:rsidRPr="00670B96">
                <w:rPr>
                  <w:rFonts w:eastAsia="Times New Roman"/>
                  <w:color w:val="000000" w:themeColor="text1"/>
                  <w:sz w:val="20"/>
                  <w:szCs w:val="20"/>
                </w:rPr>
                <w:t>T2DPZ9</w:t>
              </w:r>
            </w:hyperlink>
          </w:p>
          <w:p w:rsidR="00B53446" w:rsidRPr="00670B96" w:rsidRDefault="00B53446" w:rsidP="008A51EA">
            <w:pPr>
              <w:spacing w:line="240" w:lineRule="auto"/>
              <w:rPr>
                <w:rFonts w:eastAsia="Times New Roman"/>
                <w:color w:val="000000" w:themeColor="text1"/>
                <w:sz w:val="20"/>
                <w:szCs w:val="20"/>
              </w:rPr>
            </w:pPr>
            <w:r w:rsidRPr="00670B96">
              <w:rPr>
                <w:rFonts w:eastAsia="Times New Roman"/>
                <w:color w:val="000000" w:themeColor="text1"/>
                <w:sz w:val="20"/>
                <w:szCs w:val="20"/>
              </w:rPr>
              <w:t>M0SZ88</w:t>
            </w:r>
          </w:p>
        </w:tc>
        <w:tc>
          <w:tcPr>
            <w:tcW w:w="1276"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CBS-UP</w:t>
            </w:r>
          </w:p>
          <w:p w:rsidR="00B53446" w:rsidRPr="00670B96" w:rsidRDefault="00B53446" w:rsidP="008A51EA">
            <w:pPr>
              <w:spacing w:line="240" w:lineRule="auto"/>
              <w:rPr>
                <w:sz w:val="20"/>
                <w:szCs w:val="20"/>
              </w:rPr>
            </w:pPr>
            <w:r w:rsidRPr="00670B96">
              <w:rPr>
                <w:sz w:val="20"/>
                <w:szCs w:val="20"/>
              </w:rPr>
              <w:t>CBS-UP</w:t>
            </w:r>
          </w:p>
          <w:p w:rsidR="00B53446" w:rsidRPr="00670B96" w:rsidRDefault="00B53446" w:rsidP="008A51EA">
            <w:pPr>
              <w:spacing w:line="240" w:lineRule="auto"/>
              <w:rPr>
                <w:sz w:val="20"/>
                <w:szCs w:val="20"/>
              </w:rPr>
            </w:pPr>
            <w:r w:rsidRPr="00670B96">
              <w:rPr>
                <w:sz w:val="20"/>
                <w:szCs w:val="20"/>
              </w:rPr>
              <w:t>CBS-UP</w:t>
            </w:r>
          </w:p>
        </w:tc>
        <w:tc>
          <w:tcPr>
            <w:tcW w:w="1134"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 xml:space="preserve">2.09        </w:t>
            </w:r>
          </w:p>
          <w:p w:rsidR="00B53446" w:rsidRPr="00670B96" w:rsidRDefault="00B53446" w:rsidP="008A51EA">
            <w:pPr>
              <w:spacing w:line="240" w:lineRule="auto"/>
              <w:rPr>
                <w:sz w:val="20"/>
                <w:szCs w:val="20"/>
              </w:rPr>
            </w:pPr>
            <w:r w:rsidRPr="00670B96">
              <w:rPr>
                <w:sz w:val="20"/>
                <w:szCs w:val="20"/>
              </w:rPr>
              <w:t xml:space="preserve">-         </w:t>
            </w:r>
          </w:p>
          <w:p w:rsidR="00B53446" w:rsidRPr="00670B96" w:rsidRDefault="00B53446" w:rsidP="008A51EA">
            <w:pPr>
              <w:spacing w:line="240" w:lineRule="auto"/>
              <w:rPr>
                <w:sz w:val="20"/>
                <w:szCs w:val="20"/>
              </w:rPr>
            </w:pPr>
            <w:r w:rsidRPr="00670B96">
              <w:rPr>
                <w:sz w:val="20"/>
                <w:szCs w:val="20"/>
              </w:rPr>
              <w:t>2.18</w:t>
            </w:r>
          </w:p>
        </w:tc>
        <w:tc>
          <w:tcPr>
            <w:tcW w:w="965"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0.045</w:t>
            </w:r>
          </w:p>
          <w:p w:rsidR="00B53446" w:rsidRPr="00670B96" w:rsidRDefault="00B53446" w:rsidP="008A51EA">
            <w:pPr>
              <w:spacing w:line="240" w:lineRule="auto"/>
              <w:rPr>
                <w:sz w:val="20"/>
                <w:szCs w:val="20"/>
              </w:rPr>
            </w:pPr>
            <w:r w:rsidRPr="00670B96">
              <w:rPr>
                <w:sz w:val="20"/>
                <w:szCs w:val="20"/>
              </w:rPr>
              <w:t>0.00060.045</w:t>
            </w:r>
          </w:p>
        </w:tc>
        <w:tc>
          <w:tcPr>
            <w:tcW w:w="3057" w:type="dxa"/>
            <w:tcBorders>
              <w:top w:val="single" w:sz="4" w:space="0" w:color="auto"/>
            </w:tcBorders>
            <w:shd w:val="clear" w:color="auto" w:fill="auto"/>
          </w:tcPr>
          <w:p w:rsidR="00B53446" w:rsidRPr="00670B96" w:rsidRDefault="00B53446" w:rsidP="008A51EA">
            <w:pPr>
              <w:spacing w:line="240" w:lineRule="auto"/>
              <w:jc w:val="left"/>
              <w:rPr>
                <w:color w:val="000000"/>
                <w:sz w:val="20"/>
                <w:szCs w:val="20"/>
              </w:rPr>
            </w:pPr>
            <w:r w:rsidRPr="00670B96">
              <w:rPr>
                <w:color w:val="000000"/>
                <w:sz w:val="20"/>
                <w:szCs w:val="20"/>
              </w:rPr>
              <w:t>Os10g0545200 protein</w:t>
            </w:r>
          </w:p>
          <w:p w:rsidR="00B53446" w:rsidRPr="00670B96" w:rsidRDefault="00B53446" w:rsidP="008A51EA">
            <w:pPr>
              <w:spacing w:line="240" w:lineRule="auto"/>
              <w:jc w:val="left"/>
              <w:rPr>
                <w:color w:val="000000"/>
                <w:sz w:val="20"/>
                <w:szCs w:val="20"/>
              </w:rPr>
            </w:pPr>
            <w:r w:rsidRPr="00670B96">
              <w:rPr>
                <w:color w:val="000000"/>
                <w:sz w:val="20"/>
                <w:szCs w:val="20"/>
              </w:rPr>
              <w:t>cytochrome b</w:t>
            </w:r>
          </w:p>
          <w:p w:rsidR="00B53446" w:rsidRPr="00670B96" w:rsidRDefault="00B53446" w:rsidP="008A51EA">
            <w:pPr>
              <w:spacing w:line="240" w:lineRule="auto"/>
              <w:jc w:val="left"/>
              <w:rPr>
                <w:color w:val="000000"/>
                <w:sz w:val="20"/>
                <w:szCs w:val="20"/>
              </w:rPr>
            </w:pPr>
            <w:r w:rsidRPr="00670B96">
              <w:rPr>
                <w:color w:val="000000"/>
                <w:sz w:val="20"/>
                <w:szCs w:val="20"/>
              </w:rPr>
              <w:t xml:space="preserve">uncharacterized </w:t>
            </w:r>
          </w:p>
        </w:tc>
      </w:tr>
      <w:tr w:rsidR="00B53446" w:rsidRPr="00670B96" w:rsidTr="008A51EA">
        <w:trPr>
          <w:jc w:val="center"/>
        </w:trPr>
        <w:tc>
          <w:tcPr>
            <w:tcW w:w="1523" w:type="dxa"/>
            <w:tcBorders>
              <w:bottom w:val="single" w:sz="4" w:space="0" w:color="auto"/>
            </w:tcBorders>
            <w:shd w:val="clear" w:color="auto" w:fill="auto"/>
          </w:tcPr>
          <w:p w:rsidR="00B53446" w:rsidRPr="00670B96" w:rsidRDefault="00B53446" w:rsidP="008A51EA">
            <w:pPr>
              <w:spacing w:line="240" w:lineRule="auto"/>
              <w:rPr>
                <w:color w:val="000000"/>
                <w:sz w:val="20"/>
                <w:szCs w:val="20"/>
              </w:rPr>
            </w:pPr>
            <w:r w:rsidRPr="00670B96">
              <w:rPr>
                <w:color w:val="000000"/>
                <w:sz w:val="20"/>
                <w:szCs w:val="20"/>
              </w:rPr>
              <w:t>XLOC_001110</w:t>
            </w:r>
          </w:p>
          <w:p w:rsidR="00B53446" w:rsidRPr="00670B96" w:rsidRDefault="00B53446" w:rsidP="008A51EA">
            <w:pPr>
              <w:spacing w:line="240" w:lineRule="auto"/>
              <w:rPr>
                <w:color w:val="000000"/>
                <w:sz w:val="20"/>
                <w:szCs w:val="20"/>
              </w:rPr>
            </w:pPr>
            <w:r w:rsidRPr="00670B96">
              <w:rPr>
                <w:color w:val="000000"/>
                <w:sz w:val="20"/>
                <w:szCs w:val="20"/>
              </w:rPr>
              <w:t>XLOC_000371</w:t>
            </w:r>
          </w:p>
          <w:p w:rsidR="00B53446" w:rsidRPr="00670B96" w:rsidRDefault="00B53446" w:rsidP="008A51EA">
            <w:pPr>
              <w:spacing w:line="240" w:lineRule="auto"/>
              <w:rPr>
                <w:color w:val="000000"/>
                <w:sz w:val="20"/>
                <w:szCs w:val="20"/>
              </w:rPr>
            </w:pPr>
            <w:r w:rsidRPr="00670B96">
              <w:rPr>
                <w:color w:val="000000"/>
                <w:sz w:val="20"/>
                <w:szCs w:val="20"/>
              </w:rPr>
              <w:t>XLOC_002051</w:t>
            </w:r>
          </w:p>
          <w:p w:rsidR="00B53446" w:rsidRPr="00670B96" w:rsidRDefault="00B53446" w:rsidP="008A51EA">
            <w:pPr>
              <w:spacing w:line="240" w:lineRule="auto"/>
              <w:rPr>
                <w:color w:val="000000"/>
                <w:sz w:val="20"/>
                <w:szCs w:val="20"/>
              </w:rPr>
            </w:pPr>
            <w:r w:rsidRPr="00670B96">
              <w:rPr>
                <w:color w:val="000000"/>
                <w:sz w:val="20"/>
                <w:szCs w:val="20"/>
              </w:rPr>
              <w:t>XLOC_002072</w:t>
            </w:r>
          </w:p>
        </w:tc>
        <w:tc>
          <w:tcPr>
            <w:tcW w:w="1417" w:type="dxa"/>
            <w:tcBorders>
              <w:bottom w:val="single" w:sz="4" w:space="0" w:color="auto"/>
            </w:tcBorders>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M8AU02</w:t>
            </w:r>
          </w:p>
          <w:p w:rsidR="00B53446" w:rsidRPr="00670B96" w:rsidRDefault="000138DC" w:rsidP="008A51EA">
            <w:pPr>
              <w:spacing w:line="240" w:lineRule="auto"/>
              <w:rPr>
                <w:sz w:val="20"/>
                <w:szCs w:val="20"/>
              </w:rPr>
            </w:pPr>
            <w:hyperlink r:id="rId66" w:history="1">
              <w:r w:rsidR="00B53446" w:rsidRPr="00670B96">
                <w:rPr>
                  <w:rStyle w:val="Hyperlink"/>
                  <w:color w:val="000000" w:themeColor="text1"/>
                  <w:sz w:val="20"/>
                  <w:szCs w:val="20"/>
                  <w:u w:val="none"/>
                </w:rPr>
                <w:t>M0TCR0</w:t>
              </w:r>
            </w:hyperlink>
          </w:p>
          <w:p w:rsidR="00B53446" w:rsidRPr="00670B96" w:rsidRDefault="000138DC" w:rsidP="008A51EA">
            <w:pPr>
              <w:spacing w:line="240" w:lineRule="auto"/>
              <w:rPr>
                <w:rStyle w:val="Hyperlink"/>
                <w:color w:val="000000" w:themeColor="text1"/>
                <w:sz w:val="20"/>
                <w:szCs w:val="20"/>
                <w:u w:val="none"/>
              </w:rPr>
            </w:pPr>
            <w:hyperlink r:id="rId67" w:history="1">
              <w:r w:rsidR="00B53446" w:rsidRPr="00670B96">
                <w:rPr>
                  <w:rStyle w:val="Hyperlink"/>
                  <w:color w:val="000000" w:themeColor="text1"/>
                  <w:sz w:val="20"/>
                  <w:szCs w:val="20"/>
                  <w:u w:val="none"/>
                </w:rPr>
                <w:t>F2NYJ0</w:t>
              </w:r>
            </w:hyperlink>
          </w:p>
          <w:p w:rsidR="00B53446" w:rsidRPr="00670B96" w:rsidRDefault="000138DC" w:rsidP="008A51EA">
            <w:pPr>
              <w:spacing w:line="240" w:lineRule="auto"/>
              <w:rPr>
                <w:color w:val="000000" w:themeColor="text1"/>
                <w:sz w:val="20"/>
                <w:szCs w:val="20"/>
              </w:rPr>
            </w:pPr>
            <w:hyperlink r:id="rId68" w:history="1">
              <w:r w:rsidR="00B53446" w:rsidRPr="00670B96">
                <w:rPr>
                  <w:rStyle w:val="Hyperlink"/>
                  <w:color w:val="000000" w:themeColor="text1"/>
                  <w:sz w:val="20"/>
                  <w:szCs w:val="20"/>
                  <w:u w:val="none"/>
                </w:rPr>
                <w:t>O24428</w:t>
              </w:r>
            </w:hyperlink>
          </w:p>
        </w:tc>
        <w:tc>
          <w:tcPr>
            <w:tcW w:w="1276"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CAL-UP</w:t>
            </w:r>
          </w:p>
          <w:p w:rsidR="00B53446" w:rsidRPr="00670B96" w:rsidRDefault="00B53446" w:rsidP="008A51EA">
            <w:pPr>
              <w:spacing w:line="240" w:lineRule="auto"/>
              <w:rPr>
                <w:sz w:val="20"/>
                <w:szCs w:val="20"/>
              </w:rPr>
            </w:pPr>
            <w:r w:rsidRPr="00670B96">
              <w:rPr>
                <w:sz w:val="20"/>
                <w:szCs w:val="20"/>
              </w:rPr>
              <w:t>CAL-UP</w:t>
            </w:r>
          </w:p>
          <w:p w:rsidR="00B53446" w:rsidRPr="00670B96" w:rsidRDefault="00B53446" w:rsidP="008A51EA">
            <w:pPr>
              <w:spacing w:line="240" w:lineRule="auto"/>
              <w:rPr>
                <w:sz w:val="20"/>
                <w:szCs w:val="20"/>
              </w:rPr>
            </w:pPr>
            <w:r w:rsidRPr="00670B96">
              <w:rPr>
                <w:sz w:val="20"/>
                <w:szCs w:val="20"/>
              </w:rPr>
              <w:t>CAL-UP</w:t>
            </w:r>
          </w:p>
          <w:p w:rsidR="00B53446" w:rsidRPr="00670B96" w:rsidRDefault="00B53446" w:rsidP="008A51EA">
            <w:pPr>
              <w:spacing w:line="240" w:lineRule="auto"/>
              <w:rPr>
                <w:sz w:val="20"/>
                <w:szCs w:val="20"/>
              </w:rPr>
            </w:pPr>
            <w:r w:rsidRPr="00670B96">
              <w:rPr>
                <w:sz w:val="20"/>
                <w:szCs w:val="20"/>
              </w:rPr>
              <w:t>CAL-UP</w:t>
            </w:r>
          </w:p>
        </w:tc>
        <w:tc>
          <w:tcPr>
            <w:tcW w:w="1134"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3.21</w:t>
            </w:r>
          </w:p>
          <w:p w:rsidR="00B53446" w:rsidRPr="00670B96" w:rsidRDefault="00B53446" w:rsidP="008A51EA">
            <w:pPr>
              <w:spacing w:line="240" w:lineRule="auto"/>
              <w:rPr>
                <w:sz w:val="20"/>
                <w:szCs w:val="20"/>
              </w:rPr>
            </w:pPr>
            <w:r w:rsidRPr="00670B96">
              <w:rPr>
                <w:sz w:val="20"/>
                <w:szCs w:val="20"/>
              </w:rPr>
              <w:t xml:space="preserve">-                </w:t>
            </w:r>
          </w:p>
          <w:p w:rsidR="00B53446" w:rsidRPr="00670B96" w:rsidRDefault="00B53446" w:rsidP="008A51EA">
            <w:pPr>
              <w:spacing w:line="240" w:lineRule="auto"/>
              <w:rPr>
                <w:sz w:val="20"/>
                <w:szCs w:val="20"/>
              </w:rPr>
            </w:pPr>
            <w:r w:rsidRPr="00670B96">
              <w:rPr>
                <w:sz w:val="20"/>
                <w:szCs w:val="20"/>
              </w:rPr>
              <w:t xml:space="preserve">-             </w:t>
            </w:r>
          </w:p>
          <w:p w:rsidR="00B53446" w:rsidRPr="00670B96" w:rsidRDefault="00B53446" w:rsidP="008A51EA">
            <w:pPr>
              <w:spacing w:line="240" w:lineRule="auto"/>
              <w:rPr>
                <w:sz w:val="20"/>
                <w:szCs w:val="20"/>
              </w:rPr>
            </w:pPr>
            <w:r w:rsidRPr="00670B96">
              <w:rPr>
                <w:sz w:val="20"/>
                <w:szCs w:val="20"/>
              </w:rPr>
              <w:t>-</w:t>
            </w:r>
          </w:p>
        </w:tc>
        <w:tc>
          <w:tcPr>
            <w:tcW w:w="965" w:type="dxa"/>
            <w:tcBorders>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0.033</w:t>
            </w:r>
          </w:p>
          <w:p w:rsidR="00B53446" w:rsidRPr="00670B96" w:rsidRDefault="00B53446" w:rsidP="008A51EA">
            <w:pPr>
              <w:spacing w:line="240" w:lineRule="auto"/>
              <w:rPr>
                <w:sz w:val="20"/>
                <w:szCs w:val="20"/>
              </w:rPr>
            </w:pPr>
            <w:r w:rsidRPr="00670B96">
              <w:rPr>
                <w:sz w:val="20"/>
                <w:szCs w:val="20"/>
              </w:rPr>
              <w:t>0.00060.00060.0006</w:t>
            </w:r>
          </w:p>
        </w:tc>
        <w:tc>
          <w:tcPr>
            <w:tcW w:w="3057" w:type="dxa"/>
            <w:tcBorders>
              <w:bottom w:val="single" w:sz="4" w:space="0" w:color="auto"/>
            </w:tcBorders>
            <w:shd w:val="clear" w:color="auto" w:fill="auto"/>
          </w:tcPr>
          <w:p w:rsidR="00B53446" w:rsidRPr="00670B96" w:rsidRDefault="00B53446" w:rsidP="008A51EA">
            <w:pPr>
              <w:spacing w:line="240" w:lineRule="auto"/>
              <w:jc w:val="left"/>
              <w:rPr>
                <w:sz w:val="20"/>
                <w:szCs w:val="20"/>
              </w:rPr>
            </w:pPr>
            <w:r w:rsidRPr="00670B96">
              <w:rPr>
                <w:sz w:val="20"/>
                <w:szCs w:val="20"/>
              </w:rPr>
              <w:t>aldehyde dehydrogenase</w:t>
            </w:r>
          </w:p>
          <w:p w:rsidR="00B53446" w:rsidRPr="00670B96" w:rsidRDefault="00B53446" w:rsidP="008A51EA">
            <w:pPr>
              <w:spacing w:line="240" w:lineRule="auto"/>
              <w:jc w:val="left"/>
              <w:rPr>
                <w:sz w:val="20"/>
                <w:szCs w:val="20"/>
              </w:rPr>
            </w:pPr>
            <w:r w:rsidRPr="00670B96">
              <w:rPr>
                <w:sz w:val="20"/>
                <w:szCs w:val="20"/>
              </w:rPr>
              <w:t xml:space="preserve">uncharacterized </w:t>
            </w:r>
          </w:p>
          <w:p w:rsidR="00B53446" w:rsidRPr="00670B96" w:rsidRDefault="00B53446" w:rsidP="008A51EA">
            <w:pPr>
              <w:spacing w:line="240" w:lineRule="auto"/>
              <w:jc w:val="left"/>
              <w:rPr>
                <w:sz w:val="20"/>
                <w:szCs w:val="20"/>
              </w:rPr>
            </w:pPr>
            <w:r w:rsidRPr="00670B96">
              <w:rPr>
                <w:sz w:val="20"/>
                <w:szCs w:val="20"/>
              </w:rPr>
              <w:t>anaerobic reductase</w:t>
            </w:r>
          </w:p>
          <w:p w:rsidR="00B53446" w:rsidRPr="00670B96" w:rsidRDefault="00B53446" w:rsidP="008A51EA">
            <w:pPr>
              <w:spacing w:line="240" w:lineRule="auto"/>
              <w:jc w:val="left"/>
              <w:rPr>
                <w:sz w:val="20"/>
                <w:szCs w:val="20"/>
              </w:rPr>
            </w:pPr>
            <w:proofErr w:type="spellStart"/>
            <w:r w:rsidRPr="00670B96">
              <w:rPr>
                <w:sz w:val="20"/>
                <w:szCs w:val="20"/>
              </w:rPr>
              <w:t>stearoyl</w:t>
            </w:r>
            <w:proofErr w:type="spellEnd"/>
            <w:r w:rsidRPr="00670B96">
              <w:rPr>
                <w:sz w:val="20"/>
                <w:szCs w:val="20"/>
              </w:rPr>
              <w:t xml:space="preserve">-ACP </w:t>
            </w:r>
            <w:proofErr w:type="spellStart"/>
            <w:r w:rsidRPr="00670B96">
              <w:rPr>
                <w:sz w:val="20"/>
                <w:szCs w:val="20"/>
              </w:rPr>
              <w:t>desaturase</w:t>
            </w:r>
            <w:proofErr w:type="spellEnd"/>
          </w:p>
        </w:tc>
      </w:tr>
      <w:tr w:rsidR="00B53446" w:rsidRPr="00670B96" w:rsidTr="008A51EA">
        <w:trPr>
          <w:jc w:val="center"/>
        </w:trPr>
        <w:tc>
          <w:tcPr>
            <w:tcW w:w="9372" w:type="dxa"/>
            <w:gridSpan w:val="6"/>
            <w:tcBorders>
              <w:top w:val="single" w:sz="4" w:space="0" w:color="auto"/>
              <w:bottom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5. Hydrolase activity related</w:t>
            </w:r>
          </w:p>
        </w:tc>
      </w:tr>
      <w:tr w:rsidR="00B53446" w:rsidRPr="00670B96" w:rsidTr="008A51EA">
        <w:trPr>
          <w:jc w:val="center"/>
        </w:trPr>
        <w:tc>
          <w:tcPr>
            <w:tcW w:w="1523"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XLOC_000089</w:t>
            </w:r>
          </w:p>
          <w:p w:rsidR="00B53446" w:rsidRPr="00670B96" w:rsidRDefault="00B53446" w:rsidP="008A51EA">
            <w:pPr>
              <w:spacing w:line="240" w:lineRule="auto"/>
              <w:rPr>
                <w:sz w:val="20"/>
                <w:szCs w:val="20"/>
              </w:rPr>
            </w:pPr>
            <w:r w:rsidRPr="00670B96">
              <w:rPr>
                <w:sz w:val="20"/>
                <w:szCs w:val="20"/>
              </w:rPr>
              <w:t>XLOC_000792</w:t>
            </w:r>
          </w:p>
          <w:p w:rsidR="00B53446" w:rsidRPr="00670B96" w:rsidRDefault="00B53446" w:rsidP="008A51EA">
            <w:pPr>
              <w:spacing w:line="240" w:lineRule="auto"/>
              <w:rPr>
                <w:sz w:val="20"/>
                <w:szCs w:val="20"/>
              </w:rPr>
            </w:pPr>
            <w:r w:rsidRPr="00670B96">
              <w:rPr>
                <w:sz w:val="20"/>
                <w:szCs w:val="20"/>
              </w:rPr>
              <w:t>XLOC_001578</w:t>
            </w:r>
          </w:p>
        </w:tc>
        <w:tc>
          <w:tcPr>
            <w:tcW w:w="1417" w:type="dxa"/>
            <w:tcBorders>
              <w:top w:val="single" w:sz="4" w:space="0" w:color="auto"/>
            </w:tcBorders>
            <w:shd w:val="clear" w:color="auto" w:fill="auto"/>
          </w:tcPr>
          <w:p w:rsidR="00B53446" w:rsidRPr="00670B96" w:rsidRDefault="000138DC" w:rsidP="008A51EA">
            <w:pPr>
              <w:spacing w:line="240" w:lineRule="auto"/>
              <w:rPr>
                <w:sz w:val="20"/>
                <w:szCs w:val="20"/>
              </w:rPr>
            </w:pPr>
            <w:hyperlink r:id="rId69" w:history="1">
              <w:r w:rsidR="00B53446" w:rsidRPr="00670B96">
                <w:rPr>
                  <w:rStyle w:val="Hyperlink"/>
                  <w:color w:val="000000" w:themeColor="text1"/>
                  <w:sz w:val="20"/>
                  <w:szCs w:val="20"/>
                  <w:u w:val="none"/>
                </w:rPr>
                <w:t>A0A078EUD2</w:t>
              </w:r>
            </w:hyperlink>
            <w:hyperlink r:id="rId70" w:history="1">
              <w:r w:rsidR="00B53446" w:rsidRPr="00670B96">
                <w:rPr>
                  <w:rStyle w:val="Hyperlink"/>
                  <w:color w:val="000000" w:themeColor="text1"/>
                  <w:sz w:val="20"/>
                  <w:szCs w:val="20"/>
                  <w:u w:val="none"/>
                </w:rPr>
                <w:t>K4NZ15</w:t>
              </w:r>
            </w:hyperlink>
          </w:p>
          <w:p w:rsidR="00B53446" w:rsidRPr="00670B96" w:rsidRDefault="000138DC" w:rsidP="008A51EA">
            <w:pPr>
              <w:spacing w:line="240" w:lineRule="auto"/>
              <w:rPr>
                <w:color w:val="000000" w:themeColor="text1"/>
                <w:sz w:val="20"/>
                <w:szCs w:val="20"/>
              </w:rPr>
            </w:pPr>
            <w:hyperlink r:id="rId71" w:history="1">
              <w:r w:rsidR="00B53446" w:rsidRPr="00670B96">
                <w:rPr>
                  <w:rStyle w:val="Hyperlink"/>
                  <w:color w:val="000000" w:themeColor="text1"/>
                  <w:sz w:val="20"/>
                  <w:szCs w:val="20"/>
                  <w:u w:val="none"/>
                </w:rPr>
                <w:t>K4NZ15</w:t>
              </w:r>
            </w:hyperlink>
          </w:p>
        </w:tc>
        <w:tc>
          <w:tcPr>
            <w:tcW w:w="1276"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CBS-UP</w:t>
            </w:r>
          </w:p>
          <w:p w:rsidR="00B53446" w:rsidRPr="00670B96" w:rsidRDefault="00B53446" w:rsidP="008A51EA">
            <w:pPr>
              <w:spacing w:line="240" w:lineRule="auto"/>
              <w:rPr>
                <w:sz w:val="20"/>
                <w:szCs w:val="20"/>
              </w:rPr>
            </w:pPr>
            <w:r w:rsidRPr="00670B96">
              <w:rPr>
                <w:sz w:val="20"/>
                <w:szCs w:val="20"/>
              </w:rPr>
              <w:t>CBS-UP</w:t>
            </w:r>
          </w:p>
          <w:p w:rsidR="00B53446" w:rsidRPr="00670B96" w:rsidRDefault="00B53446" w:rsidP="008A51EA">
            <w:pPr>
              <w:spacing w:line="240" w:lineRule="auto"/>
              <w:rPr>
                <w:sz w:val="20"/>
                <w:szCs w:val="20"/>
              </w:rPr>
            </w:pPr>
            <w:r w:rsidRPr="00670B96">
              <w:rPr>
                <w:sz w:val="20"/>
                <w:szCs w:val="20"/>
              </w:rPr>
              <w:t>CBS-UP</w:t>
            </w:r>
          </w:p>
        </w:tc>
        <w:tc>
          <w:tcPr>
            <w:tcW w:w="1134"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 xml:space="preserve">2.93        </w:t>
            </w:r>
          </w:p>
          <w:p w:rsidR="00B53446" w:rsidRPr="00670B96" w:rsidRDefault="00B53446" w:rsidP="008A51EA">
            <w:pPr>
              <w:spacing w:line="240" w:lineRule="auto"/>
              <w:rPr>
                <w:sz w:val="20"/>
                <w:szCs w:val="20"/>
              </w:rPr>
            </w:pPr>
            <w:r w:rsidRPr="00670B96">
              <w:rPr>
                <w:sz w:val="20"/>
                <w:szCs w:val="20"/>
              </w:rPr>
              <w:t xml:space="preserve">-             </w:t>
            </w:r>
          </w:p>
          <w:p w:rsidR="00B53446" w:rsidRPr="00670B96" w:rsidRDefault="00B53446" w:rsidP="008A51EA">
            <w:pPr>
              <w:spacing w:line="240" w:lineRule="auto"/>
              <w:rPr>
                <w:sz w:val="20"/>
                <w:szCs w:val="20"/>
              </w:rPr>
            </w:pPr>
            <w:r w:rsidRPr="00670B96">
              <w:rPr>
                <w:sz w:val="20"/>
                <w:szCs w:val="20"/>
              </w:rPr>
              <w:t>-</w:t>
            </w:r>
          </w:p>
        </w:tc>
        <w:tc>
          <w:tcPr>
            <w:tcW w:w="965" w:type="dxa"/>
            <w:tcBorders>
              <w:top w:val="single" w:sz="4" w:space="0" w:color="auto"/>
            </w:tcBorders>
            <w:shd w:val="clear" w:color="auto" w:fill="auto"/>
          </w:tcPr>
          <w:p w:rsidR="00B53446" w:rsidRPr="00670B96" w:rsidRDefault="00B53446" w:rsidP="008A51EA">
            <w:pPr>
              <w:spacing w:line="240" w:lineRule="auto"/>
              <w:rPr>
                <w:sz w:val="20"/>
                <w:szCs w:val="20"/>
              </w:rPr>
            </w:pPr>
            <w:r w:rsidRPr="00670B96">
              <w:rPr>
                <w:sz w:val="20"/>
                <w:szCs w:val="20"/>
              </w:rPr>
              <w:t>0.023</w:t>
            </w:r>
          </w:p>
          <w:p w:rsidR="00B53446" w:rsidRPr="00670B96" w:rsidRDefault="00B53446" w:rsidP="008A51EA">
            <w:pPr>
              <w:spacing w:line="240" w:lineRule="auto"/>
              <w:rPr>
                <w:sz w:val="20"/>
                <w:szCs w:val="20"/>
              </w:rPr>
            </w:pPr>
            <w:r w:rsidRPr="00670B96">
              <w:rPr>
                <w:sz w:val="20"/>
                <w:szCs w:val="20"/>
              </w:rPr>
              <w:t>0.00060.0006</w:t>
            </w:r>
          </w:p>
        </w:tc>
        <w:tc>
          <w:tcPr>
            <w:tcW w:w="3057" w:type="dxa"/>
            <w:tcBorders>
              <w:top w:val="single" w:sz="4" w:space="0" w:color="auto"/>
            </w:tcBorders>
            <w:shd w:val="clear" w:color="auto" w:fill="auto"/>
          </w:tcPr>
          <w:p w:rsidR="00B53446" w:rsidRPr="00670B96" w:rsidRDefault="00B53446" w:rsidP="008A51EA">
            <w:pPr>
              <w:spacing w:line="240" w:lineRule="auto"/>
              <w:rPr>
                <w:color w:val="000000"/>
                <w:sz w:val="20"/>
                <w:szCs w:val="20"/>
              </w:rPr>
            </w:pPr>
            <w:r w:rsidRPr="00670B96">
              <w:rPr>
                <w:color w:val="000000"/>
                <w:sz w:val="20"/>
                <w:szCs w:val="20"/>
              </w:rPr>
              <w:t xml:space="preserve">BnaAnng00280D </w:t>
            </w:r>
          </w:p>
          <w:p w:rsidR="00B53446" w:rsidRPr="00670B96" w:rsidRDefault="00B53446" w:rsidP="008A51EA">
            <w:pPr>
              <w:spacing w:line="240" w:lineRule="auto"/>
              <w:rPr>
                <w:color w:val="000000"/>
                <w:sz w:val="20"/>
                <w:szCs w:val="20"/>
              </w:rPr>
            </w:pPr>
            <w:r w:rsidRPr="00670B96">
              <w:rPr>
                <w:color w:val="000000"/>
                <w:sz w:val="20"/>
                <w:szCs w:val="20"/>
              </w:rPr>
              <w:t>lipase</w:t>
            </w:r>
          </w:p>
          <w:p w:rsidR="00B53446" w:rsidRPr="00670B96" w:rsidRDefault="00B53446" w:rsidP="008A51EA">
            <w:pPr>
              <w:spacing w:line="240" w:lineRule="auto"/>
              <w:rPr>
                <w:color w:val="000000"/>
                <w:sz w:val="20"/>
                <w:szCs w:val="20"/>
              </w:rPr>
            </w:pPr>
            <w:r w:rsidRPr="00670B96">
              <w:rPr>
                <w:sz w:val="20"/>
                <w:szCs w:val="20"/>
              </w:rPr>
              <w:t>uncharacterized</w:t>
            </w:r>
          </w:p>
        </w:tc>
      </w:tr>
      <w:tr w:rsidR="00B53446" w:rsidRPr="00670B96" w:rsidTr="008A51EA">
        <w:trPr>
          <w:jc w:val="center"/>
        </w:trPr>
        <w:tc>
          <w:tcPr>
            <w:tcW w:w="1523" w:type="dxa"/>
            <w:tcBorders>
              <w:bottom w:val="single" w:sz="4" w:space="0" w:color="auto"/>
            </w:tcBorders>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XLOC_000006</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XLOC_000580</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XLOC_001722</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XLOC_001883</w:t>
            </w:r>
          </w:p>
        </w:tc>
        <w:tc>
          <w:tcPr>
            <w:tcW w:w="1417" w:type="dxa"/>
            <w:tcBorders>
              <w:bottom w:val="single" w:sz="4" w:space="0" w:color="auto"/>
            </w:tcBorders>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 xml:space="preserve">Q9LLC2 </w:t>
            </w:r>
          </w:p>
          <w:p w:rsidR="00B53446" w:rsidRPr="00670B96" w:rsidRDefault="000138DC" w:rsidP="008A51EA">
            <w:pPr>
              <w:spacing w:line="240" w:lineRule="auto"/>
              <w:rPr>
                <w:sz w:val="20"/>
                <w:szCs w:val="20"/>
              </w:rPr>
            </w:pPr>
            <w:hyperlink r:id="rId72" w:history="1">
              <w:r w:rsidR="00B53446" w:rsidRPr="00670B96">
                <w:rPr>
                  <w:rStyle w:val="Hyperlink"/>
                  <w:color w:val="000000" w:themeColor="text1"/>
                  <w:sz w:val="20"/>
                  <w:szCs w:val="20"/>
                  <w:u w:val="none"/>
                </w:rPr>
                <w:t>M0TI33</w:t>
              </w:r>
            </w:hyperlink>
          </w:p>
          <w:p w:rsidR="00B53446" w:rsidRPr="00670B96" w:rsidRDefault="000138DC" w:rsidP="008A51EA">
            <w:pPr>
              <w:spacing w:line="240" w:lineRule="auto"/>
              <w:rPr>
                <w:sz w:val="20"/>
                <w:szCs w:val="20"/>
              </w:rPr>
            </w:pPr>
            <w:hyperlink r:id="rId73" w:history="1">
              <w:r w:rsidR="00B53446" w:rsidRPr="00670B96">
                <w:rPr>
                  <w:rStyle w:val="Hyperlink"/>
                  <w:color w:val="000000" w:themeColor="text1"/>
                  <w:sz w:val="20"/>
                  <w:szCs w:val="20"/>
                  <w:u w:val="none"/>
                </w:rPr>
                <w:t>A5BND5</w:t>
              </w:r>
            </w:hyperlink>
            <w:r w:rsidR="00B53446" w:rsidRPr="00670B96">
              <w:rPr>
                <w:color w:val="000000" w:themeColor="text1"/>
                <w:sz w:val="20"/>
                <w:szCs w:val="20"/>
              </w:rPr>
              <w:t xml:space="preserve"> F6GXE7</w:t>
            </w:r>
          </w:p>
        </w:tc>
        <w:tc>
          <w:tcPr>
            <w:tcW w:w="1276" w:type="dxa"/>
            <w:tcBorders>
              <w:bottom w:val="single" w:sz="4" w:space="0" w:color="auto"/>
            </w:tcBorders>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tc>
        <w:tc>
          <w:tcPr>
            <w:tcW w:w="1134" w:type="dxa"/>
            <w:tcBorders>
              <w:bottom w:val="single" w:sz="4" w:space="0" w:color="auto"/>
            </w:tcBorders>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 xml:space="preserve">2.88        </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 xml:space="preserve">-             </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 xml:space="preserve">-             </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w:t>
            </w:r>
          </w:p>
        </w:tc>
        <w:tc>
          <w:tcPr>
            <w:tcW w:w="965" w:type="dxa"/>
            <w:tcBorders>
              <w:bottom w:val="single" w:sz="4" w:space="0" w:color="auto"/>
            </w:tcBorders>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 xml:space="preserve">0.011 </w:t>
            </w:r>
          </w:p>
          <w:p w:rsidR="00B53446" w:rsidRPr="00670B96" w:rsidRDefault="00B53446" w:rsidP="008A51EA">
            <w:pPr>
              <w:spacing w:line="240" w:lineRule="auto"/>
              <w:rPr>
                <w:color w:val="000000" w:themeColor="text1"/>
                <w:sz w:val="20"/>
                <w:szCs w:val="20"/>
              </w:rPr>
            </w:pPr>
            <w:r w:rsidRPr="00670B96">
              <w:rPr>
                <w:color w:val="000000" w:themeColor="text1"/>
                <w:sz w:val="20"/>
                <w:szCs w:val="20"/>
              </w:rPr>
              <w:t>0.00060.00060.0006</w:t>
            </w:r>
          </w:p>
        </w:tc>
        <w:tc>
          <w:tcPr>
            <w:tcW w:w="3057" w:type="dxa"/>
            <w:tcBorders>
              <w:bottom w:val="single" w:sz="4" w:space="0" w:color="auto"/>
            </w:tcBorders>
            <w:shd w:val="clear" w:color="auto" w:fill="auto"/>
          </w:tcPr>
          <w:p w:rsidR="00B53446" w:rsidRPr="00670B96" w:rsidRDefault="00B53446" w:rsidP="008A51EA">
            <w:pPr>
              <w:spacing w:line="240" w:lineRule="auto"/>
              <w:jc w:val="left"/>
              <w:rPr>
                <w:color w:val="000000" w:themeColor="text1"/>
                <w:sz w:val="20"/>
                <w:szCs w:val="20"/>
              </w:rPr>
            </w:pPr>
            <w:proofErr w:type="spellStart"/>
            <w:r w:rsidRPr="00670B96">
              <w:rPr>
                <w:color w:val="000000" w:themeColor="text1"/>
                <w:sz w:val="20"/>
                <w:szCs w:val="20"/>
              </w:rPr>
              <w:t>xyloglucan</w:t>
            </w:r>
            <w:proofErr w:type="spellEnd"/>
            <w:r w:rsidRPr="00670B96">
              <w:rPr>
                <w:color w:val="000000" w:themeColor="text1"/>
                <w:sz w:val="20"/>
                <w:szCs w:val="20"/>
              </w:rPr>
              <w:t xml:space="preserve"> </w:t>
            </w:r>
            <w:proofErr w:type="spellStart"/>
            <w:r w:rsidRPr="00670B96">
              <w:rPr>
                <w:color w:val="000000" w:themeColor="text1"/>
                <w:sz w:val="20"/>
                <w:szCs w:val="20"/>
              </w:rPr>
              <w:t>endo-transglucosylase</w:t>
            </w:r>
            <w:proofErr w:type="spellEnd"/>
            <w:r w:rsidRPr="00670B96">
              <w:rPr>
                <w:color w:val="000000" w:themeColor="text1"/>
                <w:sz w:val="20"/>
                <w:szCs w:val="20"/>
              </w:rPr>
              <w:t xml:space="preserve">                                                              </w:t>
            </w:r>
            <w:proofErr w:type="spellStart"/>
            <w:r w:rsidRPr="00670B96">
              <w:rPr>
                <w:color w:val="000000" w:themeColor="text1"/>
                <w:sz w:val="20"/>
                <w:szCs w:val="20"/>
              </w:rPr>
              <w:t>xyloglucan</w:t>
            </w:r>
            <w:proofErr w:type="spellEnd"/>
            <w:r w:rsidRPr="00670B96">
              <w:rPr>
                <w:color w:val="000000" w:themeColor="text1"/>
                <w:sz w:val="20"/>
                <w:szCs w:val="20"/>
              </w:rPr>
              <w:t xml:space="preserve"> </w:t>
            </w:r>
            <w:proofErr w:type="spellStart"/>
            <w:r w:rsidRPr="00670B96">
              <w:rPr>
                <w:color w:val="000000" w:themeColor="text1"/>
                <w:sz w:val="20"/>
                <w:szCs w:val="20"/>
              </w:rPr>
              <w:t>endo-transglucosylase</w:t>
            </w:r>
            <w:proofErr w:type="spellEnd"/>
            <w:r w:rsidRPr="00670B96">
              <w:rPr>
                <w:color w:val="000000" w:themeColor="text1"/>
                <w:sz w:val="20"/>
                <w:szCs w:val="20"/>
              </w:rPr>
              <w:t xml:space="preserve"> </w:t>
            </w:r>
          </w:p>
          <w:p w:rsidR="00B53446" w:rsidRPr="00670B96" w:rsidRDefault="00B53446" w:rsidP="008A51EA">
            <w:pPr>
              <w:spacing w:line="240" w:lineRule="auto"/>
              <w:jc w:val="left"/>
              <w:rPr>
                <w:color w:val="000000" w:themeColor="text1"/>
                <w:sz w:val="20"/>
                <w:szCs w:val="20"/>
              </w:rPr>
            </w:pPr>
            <w:proofErr w:type="spellStart"/>
            <w:r w:rsidRPr="00670B96">
              <w:rPr>
                <w:color w:val="000000" w:themeColor="text1"/>
                <w:sz w:val="20"/>
                <w:szCs w:val="20"/>
              </w:rPr>
              <w:t>xyloglucan</w:t>
            </w:r>
            <w:proofErr w:type="spellEnd"/>
            <w:r w:rsidRPr="00670B96">
              <w:rPr>
                <w:color w:val="000000" w:themeColor="text1"/>
                <w:sz w:val="20"/>
                <w:szCs w:val="20"/>
              </w:rPr>
              <w:t xml:space="preserve"> </w:t>
            </w:r>
            <w:proofErr w:type="spellStart"/>
            <w:r w:rsidRPr="00670B96">
              <w:rPr>
                <w:color w:val="000000" w:themeColor="text1"/>
                <w:sz w:val="20"/>
                <w:szCs w:val="20"/>
              </w:rPr>
              <w:t>endo-transglucosylase</w:t>
            </w:r>
            <w:proofErr w:type="spellEnd"/>
            <w:r w:rsidRPr="00670B96">
              <w:rPr>
                <w:color w:val="000000" w:themeColor="text1"/>
                <w:sz w:val="20"/>
                <w:szCs w:val="20"/>
              </w:rPr>
              <w:t xml:space="preserve">                                                              </w:t>
            </w:r>
          </w:p>
          <w:p w:rsidR="00B53446" w:rsidRPr="00670B96" w:rsidRDefault="00B53446" w:rsidP="008A51EA">
            <w:pPr>
              <w:spacing w:line="240" w:lineRule="auto"/>
              <w:jc w:val="left"/>
              <w:rPr>
                <w:color w:val="000000" w:themeColor="text1"/>
                <w:sz w:val="20"/>
                <w:szCs w:val="20"/>
              </w:rPr>
            </w:pPr>
            <w:proofErr w:type="spellStart"/>
            <w:r w:rsidRPr="00670B96">
              <w:rPr>
                <w:color w:val="000000" w:themeColor="text1"/>
                <w:sz w:val="20"/>
                <w:szCs w:val="20"/>
              </w:rPr>
              <w:t>xyloglucan</w:t>
            </w:r>
            <w:proofErr w:type="spellEnd"/>
            <w:r w:rsidRPr="00670B96">
              <w:rPr>
                <w:color w:val="000000" w:themeColor="text1"/>
                <w:sz w:val="20"/>
                <w:szCs w:val="20"/>
              </w:rPr>
              <w:t xml:space="preserve"> </w:t>
            </w:r>
            <w:proofErr w:type="spellStart"/>
            <w:r w:rsidRPr="00670B96">
              <w:rPr>
                <w:color w:val="000000" w:themeColor="text1"/>
                <w:sz w:val="20"/>
                <w:szCs w:val="20"/>
              </w:rPr>
              <w:t>endo-transglucosylase</w:t>
            </w:r>
            <w:proofErr w:type="spellEnd"/>
            <w:r w:rsidRPr="00670B96">
              <w:rPr>
                <w:color w:val="000000" w:themeColor="text1"/>
                <w:sz w:val="20"/>
                <w:szCs w:val="20"/>
              </w:rPr>
              <w:t xml:space="preserve">                                                                                                                           </w:t>
            </w:r>
          </w:p>
        </w:tc>
      </w:tr>
      <w:tr w:rsidR="00B53446" w:rsidRPr="00670B96" w:rsidTr="008A51EA">
        <w:trPr>
          <w:jc w:val="center"/>
        </w:trPr>
        <w:tc>
          <w:tcPr>
            <w:tcW w:w="9372" w:type="dxa"/>
            <w:gridSpan w:val="6"/>
            <w:tcBorders>
              <w:top w:val="single" w:sz="4" w:space="0" w:color="auto"/>
              <w:bottom w:val="single" w:sz="4" w:space="0" w:color="auto"/>
            </w:tcBorders>
            <w:shd w:val="clear" w:color="auto" w:fill="auto"/>
            <w:vAlign w:val="bottom"/>
          </w:tcPr>
          <w:p w:rsidR="00B53446" w:rsidRPr="00670B96" w:rsidRDefault="00B53446" w:rsidP="008A51EA">
            <w:pPr>
              <w:spacing w:line="240" w:lineRule="auto"/>
              <w:jc w:val="left"/>
              <w:rPr>
                <w:color w:val="000000" w:themeColor="text1"/>
                <w:sz w:val="20"/>
                <w:szCs w:val="20"/>
              </w:rPr>
            </w:pPr>
            <w:r w:rsidRPr="00670B96">
              <w:rPr>
                <w:rFonts w:eastAsia="Times New Roman"/>
                <w:sz w:val="20"/>
                <w:szCs w:val="20"/>
              </w:rPr>
              <w:t>Others</w:t>
            </w:r>
          </w:p>
        </w:tc>
      </w:tr>
      <w:tr w:rsidR="00B53446" w:rsidRPr="00670B96" w:rsidTr="008A51EA">
        <w:trPr>
          <w:jc w:val="center"/>
        </w:trPr>
        <w:tc>
          <w:tcPr>
            <w:tcW w:w="1523" w:type="dxa"/>
            <w:tcBorders>
              <w:top w:val="single" w:sz="4" w:space="0" w:color="auto"/>
            </w:tcBorders>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XLOC_000536</w:t>
            </w:r>
          </w:p>
        </w:tc>
        <w:tc>
          <w:tcPr>
            <w:tcW w:w="1417" w:type="dxa"/>
            <w:tcBorders>
              <w:top w:val="single" w:sz="4" w:space="0" w:color="auto"/>
            </w:tcBorders>
            <w:shd w:val="clear" w:color="auto" w:fill="auto"/>
            <w:vAlign w:val="bottom"/>
          </w:tcPr>
          <w:p w:rsidR="00B53446" w:rsidRPr="00670B96" w:rsidRDefault="000138DC" w:rsidP="008A51EA">
            <w:pPr>
              <w:spacing w:line="240" w:lineRule="auto"/>
              <w:rPr>
                <w:rFonts w:eastAsia="Times New Roman"/>
                <w:sz w:val="20"/>
                <w:szCs w:val="20"/>
              </w:rPr>
            </w:pPr>
            <w:hyperlink r:id="rId74" w:history="1">
              <w:r w:rsidR="00B53446" w:rsidRPr="00670B96">
                <w:rPr>
                  <w:rFonts w:eastAsia="Times New Roman"/>
                  <w:sz w:val="20"/>
                  <w:szCs w:val="20"/>
                </w:rPr>
                <w:t>K4P0T2</w:t>
              </w:r>
            </w:hyperlink>
          </w:p>
        </w:tc>
        <w:tc>
          <w:tcPr>
            <w:tcW w:w="1276" w:type="dxa"/>
            <w:tcBorders>
              <w:top w:val="single" w:sz="4" w:space="0" w:color="auto"/>
            </w:tcBorders>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CBS-UP</w:t>
            </w:r>
          </w:p>
        </w:tc>
        <w:tc>
          <w:tcPr>
            <w:tcW w:w="1134" w:type="dxa"/>
            <w:tcBorders>
              <w:top w:val="single" w:sz="4" w:space="0" w:color="auto"/>
            </w:tcBorders>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w:t>
            </w:r>
          </w:p>
        </w:tc>
        <w:tc>
          <w:tcPr>
            <w:tcW w:w="965" w:type="dxa"/>
            <w:tcBorders>
              <w:top w:val="single" w:sz="4" w:space="0" w:color="auto"/>
            </w:tcBorders>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0.0007</w:t>
            </w:r>
          </w:p>
        </w:tc>
        <w:tc>
          <w:tcPr>
            <w:tcW w:w="3057" w:type="dxa"/>
            <w:tcBorders>
              <w:top w:val="single" w:sz="4" w:space="0" w:color="auto"/>
            </w:tcBorders>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 xml:space="preserve">lectin </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XLOC_000616</w:t>
            </w:r>
          </w:p>
        </w:tc>
        <w:tc>
          <w:tcPr>
            <w:tcW w:w="1417" w:type="dxa"/>
            <w:shd w:val="clear" w:color="auto" w:fill="auto"/>
            <w:vAlign w:val="bottom"/>
          </w:tcPr>
          <w:p w:rsidR="00B53446" w:rsidRPr="00670B96" w:rsidRDefault="000138DC" w:rsidP="008A51EA">
            <w:pPr>
              <w:spacing w:line="240" w:lineRule="auto"/>
              <w:rPr>
                <w:rFonts w:eastAsia="Times New Roman"/>
                <w:sz w:val="20"/>
                <w:szCs w:val="20"/>
              </w:rPr>
            </w:pPr>
            <w:hyperlink r:id="rId75" w:history="1">
              <w:r w:rsidR="00B53446" w:rsidRPr="00670B96">
                <w:rPr>
                  <w:rFonts w:eastAsia="Times New Roman"/>
                  <w:sz w:val="20"/>
                  <w:szCs w:val="20"/>
                </w:rPr>
                <w:t>W5VXS2</w:t>
              </w:r>
            </w:hyperlink>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CBS-UP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0.0007</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polyphenol oxidase</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XLOC_001502</w:t>
            </w:r>
          </w:p>
        </w:tc>
        <w:tc>
          <w:tcPr>
            <w:tcW w:w="1417" w:type="dxa"/>
            <w:shd w:val="clear" w:color="auto" w:fill="auto"/>
            <w:vAlign w:val="bottom"/>
          </w:tcPr>
          <w:p w:rsidR="00B53446" w:rsidRPr="00670B96" w:rsidRDefault="000138DC" w:rsidP="008A51EA">
            <w:pPr>
              <w:spacing w:line="240" w:lineRule="auto"/>
              <w:rPr>
                <w:rFonts w:eastAsia="Times New Roman"/>
                <w:sz w:val="20"/>
                <w:szCs w:val="20"/>
              </w:rPr>
            </w:pPr>
            <w:hyperlink r:id="rId76" w:history="1">
              <w:r w:rsidR="00B53446" w:rsidRPr="00670B96">
                <w:rPr>
                  <w:rFonts w:eastAsia="Times New Roman"/>
                  <w:sz w:val="20"/>
                  <w:szCs w:val="20"/>
                </w:rPr>
                <w:t>G8XUP0</w:t>
              </w:r>
            </w:hyperlink>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CBS-UP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0.0007</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Lectin</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XLOC_001926</w:t>
            </w:r>
          </w:p>
        </w:tc>
        <w:tc>
          <w:tcPr>
            <w:tcW w:w="1417" w:type="dxa"/>
            <w:shd w:val="clear" w:color="auto" w:fill="auto"/>
            <w:vAlign w:val="bottom"/>
          </w:tcPr>
          <w:p w:rsidR="00B53446" w:rsidRPr="00670B96" w:rsidRDefault="000138DC" w:rsidP="008A51EA">
            <w:pPr>
              <w:spacing w:line="240" w:lineRule="auto"/>
              <w:rPr>
                <w:rFonts w:eastAsia="Times New Roman"/>
                <w:sz w:val="20"/>
                <w:szCs w:val="20"/>
              </w:rPr>
            </w:pPr>
            <w:hyperlink r:id="rId77" w:history="1">
              <w:r w:rsidR="00B53446" w:rsidRPr="00670B96">
                <w:rPr>
                  <w:rFonts w:eastAsia="Times New Roman"/>
                  <w:sz w:val="20"/>
                  <w:szCs w:val="20"/>
                </w:rPr>
                <w:t>C9W8B3</w:t>
              </w:r>
            </w:hyperlink>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CBS-UP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0.0007</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 xml:space="preserve">lectin </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XLOC_002069</w:t>
            </w:r>
          </w:p>
        </w:tc>
        <w:tc>
          <w:tcPr>
            <w:tcW w:w="1417" w:type="dxa"/>
            <w:shd w:val="clear" w:color="auto" w:fill="auto"/>
            <w:vAlign w:val="bottom"/>
          </w:tcPr>
          <w:p w:rsidR="00B53446" w:rsidRPr="00670B96" w:rsidRDefault="000138DC" w:rsidP="008A51EA">
            <w:pPr>
              <w:spacing w:line="240" w:lineRule="auto"/>
              <w:rPr>
                <w:rFonts w:eastAsia="Times New Roman"/>
                <w:sz w:val="20"/>
                <w:szCs w:val="20"/>
              </w:rPr>
            </w:pPr>
            <w:hyperlink r:id="rId78" w:history="1">
              <w:r w:rsidR="00B53446" w:rsidRPr="00670B96">
                <w:rPr>
                  <w:rFonts w:eastAsia="Times New Roman"/>
                  <w:sz w:val="20"/>
                  <w:szCs w:val="20"/>
                </w:rPr>
                <w:t>Q40422</w:t>
              </w:r>
            </w:hyperlink>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CBS-UP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0.0007</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mannose specific lectin</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XLOC_000485</w:t>
            </w:r>
          </w:p>
        </w:tc>
        <w:tc>
          <w:tcPr>
            <w:tcW w:w="1417" w:type="dxa"/>
            <w:shd w:val="clear" w:color="auto" w:fill="auto"/>
            <w:vAlign w:val="bottom"/>
          </w:tcPr>
          <w:p w:rsidR="00B53446" w:rsidRPr="00670B96" w:rsidRDefault="000138DC" w:rsidP="008A51EA">
            <w:pPr>
              <w:spacing w:line="240" w:lineRule="auto"/>
              <w:rPr>
                <w:rFonts w:eastAsia="Times New Roman"/>
                <w:sz w:val="20"/>
                <w:szCs w:val="20"/>
              </w:rPr>
            </w:pPr>
            <w:hyperlink r:id="rId79" w:history="1">
              <w:r w:rsidR="00B53446" w:rsidRPr="00670B96">
                <w:rPr>
                  <w:rFonts w:eastAsia="Times New Roman"/>
                  <w:sz w:val="20"/>
                  <w:szCs w:val="20"/>
                </w:rPr>
                <w:t>G3GC08</w:t>
              </w:r>
            </w:hyperlink>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CBS-UP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6.00</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0.0038</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proofErr w:type="spellStart"/>
            <w:r w:rsidRPr="00670B96">
              <w:rPr>
                <w:rFonts w:eastAsia="Times New Roman"/>
                <w:sz w:val="20"/>
                <w:szCs w:val="20"/>
              </w:rPr>
              <w:t>Lipoxygenase</w:t>
            </w:r>
            <w:proofErr w:type="spellEnd"/>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XLOC_000278</w:t>
            </w:r>
          </w:p>
        </w:tc>
        <w:tc>
          <w:tcPr>
            <w:tcW w:w="1417" w:type="dxa"/>
            <w:shd w:val="clear" w:color="auto" w:fill="auto"/>
            <w:vAlign w:val="bottom"/>
          </w:tcPr>
          <w:p w:rsidR="00B53446" w:rsidRPr="00670B96" w:rsidRDefault="000138DC" w:rsidP="008A51EA">
            <w:pPr>
              <w:spacing w:line="240" w:lineRule="auto"/>
              <w:rPr>
                <w:rFonts w:eastAsia="Times New Roman"/>
                <w:sz w:val="20"/>
                <w:szCs w:val="20"/>
              </w:rPr>
            </w:pPr>
            <w:hyperlink r:id="rId80" w:history="1">
              <w:r w:rsidR="00B53446" w:rsidRPr="00670B96">
                <w:rPr>
                  <w:rFonts w:eastAsia="Times New Roman"/>
                  <w:sz w:val="20"/>
                  <w:szCs w:val="20"/>
                </w:rPr>
                <w:t>A0A0B0MIR6</w:t>
              </w:r>
            </w:hyperlink>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CBS-UP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2.64</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0.0212</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proofErr w:type="spellStart"/>
            <w:r w:rsidRPr="00670B96">
              <w:rPr>
                <w:rFonts w:eastAsia="Times New Roman"/>
                <w:sz w:val="20"/>
                <w:szCs w:val="20"/>
              </w:rPr>
              <w:t>proactivator</w:t>
            </w:r>
            <w:proofErr w:type="spellEnd"/>
            <w:r w:rsidRPr="00670B96">
              <w:rPr>
                <w:rFonts w:eastAsia="Times New Roman"/>
                <w:sz w:val="20"/>
                <w:szCs w:val="20"/>
              </w:rPr>
              <w:t xml:space="preserve"> polypeptide</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XLOC_001282</w:t>
            </w:r>
          </w:p>
        </w:tc>
        <w:tc>
          <w:tcPr>
            <w:tcW w:w="141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K7P8F2</w:t>
            </w:r>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CBS-UP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2.58</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0.0383</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aspartic acid protease</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XLOC_001804</w:t>
            </w:r>
          </w:p>
        </w:tc>
        <w:tc>
          <w:tcPr>
            <w:tcW w:w="1417" w:type="dxa"/>
            <w:shd w:val="clear" w:color="auto" w:fill="auto"/>
            <w:vAlign w:val="bottom"/>
          </w:tcPr>
          <w:p w:rsidR="00B53446" w:rsidRPr="00670B96" w:rsidRDefault="000138DC" w:rsidP="008A51EA">
            <w:pPr>
              <w:spacing w:line="240" w:lineRule="auto"/>
              <w:rPr>
                <w:rFonts w:eastAsia="Times New Roman"/>
                <w:sz w:val="20"/>
                <w:szCs w:val="20"/>
              </w:rPr>
            </w:pPr>
            <w:hyperlink r:id="rId81" w:history="1">
              <w:r w:rsidR="00B53446" w:rsidRPr="00670B96">
                <w:rPr>
                  <w:rFonts w:eastAsia="Times New Roman"/>
                  <w:sz w:val="20"/>
                  <w:szCs w:val="20"/>
                </w:rPr>
                <w:t>F4JLV7</w:t>
              </w:r>
            </w:hyperlink>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CBS-UP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0.0007</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 xml:space="preserve">lipid-transfer </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XLOC_001339</w:t>
            </w:r>
          </w:p>
        </w:tc>
        <w:tc>
          <w:tcPr>
            <w:tcW w:w="141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G9M5T0</w:t>
            </w:r>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4.67</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0.0254</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Lectin</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XLOC_000721</w:t>
            </w:r>
          </w:p>
        </w:tc>
        <w:tc>
          <w:tcPr>
            <w:tcW w:w="141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K3ZUW3</w:t>
            </w:r>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1.90</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0.0113</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Uncharacterized</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XLOC_001055</w:t>
            </w:r>
          </w:p>
        </w:tc>
        <w:tc>
          <w:tcPr>
            <w:tcW w:w="141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E0CWD0</w:t>
            </w:r>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2.80</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0.0007</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alcohol dehydrogenase</w:t>
            </w:r>
          </w:p>
        </w:tc>
      </w:tr>
      <w:tr w:rsidR="00B53446" w:rsidRPr="00670B96" w:rsidTr="008A51EA">
        <w:trPr>
          <w:trHeight w:val="252"/>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XLOC_001373</w:t>
            </w:r>
          </w:p>
        </w:tc>
        <w:tc>
          <w:tcPr>
            <w:tcW w:w="1417" w:type="dxa"/>
            <w:shd w:val="clear" w:color="auto" w:fill="auto"/>
            <w:vAlign w:val="bottom"/>
          </w:tcPr>
          <w:p w:rsidR="00B53446" w:rsidRPr="00670B96" w:rsidRDefault="000138DC" w:rsidP="008A51EA">
            <w:pPr>
              <w:spacing w:line="240" w:lineRule="auto"/>
              <w:rPr>
                <w:sz w:val="20"/>
                <w:szCs w:val="20"/>
              </w:rPr>
            </w:pPr>
            <w:hyperlink r:id="rId82" w:history="1">
              <w:r w:rsidR="00B53446" w:rsidRPr="00670B96">
                <w:rPr>
                  <w:rFonts w:eastAsia="Times New Roman"/>
                  <w:sz w:val="20"/>
                  <w:szCs w:val="20"/>
                </w:rPr>
                <w:t>Q9XHL5</w:t>
              </w:r>
            </w:hyperlink>
          </w:p>
        </w:tc>
        <w:tc>
          <w:tcPr>
            <w:tcW w:w="1276" w:type="dxa"/>
            <w:shd w:val="clear" w:color="auto" w:fill="auto"/>
          </w:tcPr>
          <w:p w:rsidR="00B53446" w:rsidRPr="00670B96" w:rsidRDefault="00B53446" w:rsidP="008A51EA">
            <w:pPr>
              <w:spacing w:line="240" w:lineRule="auto"/>
              <w:rPr>
                <w:color w:val="000000" w:themeColor="text1"/>
                <w:sz w:val="20"/>
                <w:szCs w:val="20"/>
              </w:rPr>
            </w:pPr>
          </w:p>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0.0034</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3-hydroxy-3-methylglutaryl-coenzyme A reductase</w:t>
            </w:r>
          </w:p>
        </w:tc>
      </w:tr>
      <w:tr w:rsidR="00B53446" w:rsidRPr="00670B96" w:rsidTr="008A51EA">
        <w:trPr>
          <w:jc w:val="center"/>
        </w:trPr>
        <w:tc>
          <w:tcPr>
            <w:tcW w:w="1523"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XLOC_000638</w:t>
            </w:r>
          </w:p>
        </w:tc>
        <w:tc>
          <w:tcPr>
            <w:tcW w:w="1417" w:type="dxa"/>
            <w:shd w:val="clear" w:color="auto" w:fill="auto"/>
            <w:vAlign w:val="bottom"/>
          </w:tcPr>
          <w:p w:rsidR="00B53446" w:rsidRPr="00670B96" w:rsidRDefault="000138DC" w:rsidP="008A51EA">
            <w:pPr>
              <w:spacing w:line="240" w:lineRule="auto"/>
              <w:rPr>
                <w:rFonts w:eastAsia="Times New Roman"/>
                <w:sz w:val="20"/>
                <w:szCs w:val="20"/>
              </w:rPr>
            </w:pPr>
            <w:hyperlink r:id="rId83" w:history="1">
              <w:r w:rsidR="00B53446" w:rsidRPr="00670B96">
                <w:rPr>
                  <w:rFonts w:eastAsia="Times New Roman"/>
                  <w:sz w:val="20"/>
                  <w:szCs w:val="20"/>
                </w:rPr>
                <w:t>J5JKX7</w:t>
              </w:r>
            </w:hyperlink>
          </w:p>
        </w:tc>
        <w:tc>
          <w:tcPr>
            <w:tcW w:w="1276" w:type="dxa"/>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tc>
        <w:tc>
          <w:tcPr>
            <w:tcW w:w="1134" w:type="dxa"/>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w:t>
            </w:r>
          </w:p>
        </w:tc>
        <w:tc>
          <w:tcPr>
            <w:tcW w:w="965" w:type="dxa"/>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0.0007</w:t>
            </w:r>
          </w:p>
        </w:tc>
        <w:tc>
          <w:tcPr>
            <w:tcW w:w="3057" w:type="dxa"/>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 xml:space="preserve">PAP2 superfamily </w:t>
            </w:r>
          </w:p>
        </w:tc>
      </w:tr>
      <w:tr w:rsidR="00B53446" w:rsidRPr="00670B96" w:rsidTr="008A51EA">
        <w:trPr>
          <w:jc w:val="center"/>
        </w:trPr>
        <w:tc>
          <w:tcPr>
            <w:tcW w:w="1523" w:type="dxa"/>
            <w:tcBorders>
              <w:bottom w:val="single" w:sz="4" w:space="0" w:color="auto"/>
            </w:tcBorders>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XLOC_001712</w:t>
            </w:r>
          </w:p>
        </w:tc>
        <w:tc>
          <w:tcPr>
            <w:tcW w:w="1417" w:type="dxa"/>
            <w:tcBorders>
              <w:bottom w:val="single" w:sz="4" w:space="0" w:color="auto"/>
            </w:tcBorders>
            <w:shd w:val="clear" w:color="auto" w:fill="auto"/>
            <w:vAlign w:val="bottom"/>
          </w:tcPr>
          <w:p w:rsidR="00B53446" w:rsidRPr="00670B96" w:rsidRDefault="000138DC" w:rsidP="008A51EA">
            <w:pPr>
              <w:spacing w:line="240" w:lineRule="auto"/>
              <w:rPr>
                <w:rFonts w:eastAsia="Times New Roman"/>
                <w:sz w:val="20"/>
                <w:szCs w:val="20"/>
              </w:rPr>
            </w:pPr>
            <w:hyperlink r:id="rId84" w:history="1">
              <w:r w:rsidR="00B53446" w:rsidRPr="00670B96">
                <w:rPr>
                  <w:rFonts w:eastAsia="Times New Roman"/>
                  <w:sz w:val="20"/>
                  <w:szCs w:val="20"/>
                </w:rPr>
                <w:t>Q5XEP9</w:t>
              </w:r>
            </w:hyperlink>
          </w:p>
        </w:tc>
        <w:tc>
          <w:tcPr>
            <w:tcW w:w="1276" w:type="dxa"/>
            <w:tcBorders>
              <w:bottom w:val="single" w:sz="4" w:space="0" w:color="auto"/>
            </w:tcBorders>
            <w:shd w:val="clear" w:color="auto" w:fill="auto"/>
          </w:tcPr>
          <w:p w:rsidR="00B53446" w:rsidRPr="00670B96" w:rsidRDefault="00B53446" w:rsidP="008A51EA">
            <w:pPr>
              <w:spacing w:line="240" w:lineRule="auto"/>
              <w:rPr>
                <w:color w:val="000000" w:themeColor="text1"/>
                <w:sz w:val="20"/>
                <w:szCs w:val="20"/>
              </w:rPr>
            </w:pPr>
            <w:r w:rsidRPr="00670B96">
              <w:rPr>
                <w:color w:val="000000" w:themeColor="text1"/>
                <w:sz w:val="20"/>
                <w:szCs w:val="20"/>
              </w:rPr>
              <w:t>CAL-UP</w:t>
            </w:r>
          </w:p>
        </w:tc>
        <w:tc>
          <w:tcPr>
            <w:tcW w:w="1134" w:type="dxa"/>
            <w:tcBorders>
              <w:bottom w:val="single" w:sz="4" w:space="0" w:color="auto"/>
            </w:tcBorders>
            <w:shd w:val="clear" w:color="auto" w:fill="auto"/>
            <w:vAlign w:val="bottom"/>
          </w:tcPr>
          <w:p w:rsidR="00B53446" w:rsidRPr="00670B96" w:rsidRDefault="00B53446" w:rsidP="008A51EA">
            <w:pPr>
              <w:spacing w:line="240" w:lineRule="auto"/>
              <w:jc w:val="left"/>
              <w:rPr>
                <w:rFonts w:eastAsia="Times New Roman"/>
                <w:sz w:val="20"/>
                <w:szCs w:val="20"/>
              </w:rPr>
            </w:pPr>
            <w:r w:rsidRPr="00670B96">
              <w:rPr>
                <w:rFonts w:eastAsia="Times New Roman"/>
                <w:sz w:val="20"/>
                <w:szCs w:val="20"/>
              </w:rPr>
              <w:t>-</w:t>
            </w:r>
          </w:p>
        </w:tc>
        <w:tc>
          <w:tcPr>
            <w:tcW w:w="965" w:type="dxa"/>
            <w:tcBorders>
              <w:bottom w:val="single" w:sz="4" w:space="0" w:color="auto"/>
            </w:tcBorders>
            <w:shd w:val="clear" w:color="auto" w:fill="auto"/>
            <w:vAlign w:val="bottom"/>
          </w:tcPr>
          <w:p w:rsidR="00B53446" w:rsidRPr="00670B96" w:rsidRDefault="00B53446" w:rsidP="008A51EA">
            <w:pPr>
              <w:spacing w:line="240" w:lineRule="auto"/>
              <w:jc w:val="right"/>
              <w:rPr>
                <w:rFonts w:eastAsia="Times New Roman"/>
                <w:sz w:val="20"/>
                <w:szCs w:val="20"/>
              </w:rPr>
            </w:pPr>
            <w:r w:rsidRPr="00670B96">
              <w:rPr>
                <w:rFonts w:eastAsia="Times New Roman"/>
                <w:sz w:val="20"/>
                <w:szCs w:val="20"/>
              </w:rPr>
              <w:t>0.0007</w:t>
            </w:r>
          </w:p>
        </w:tc>
        <w:tc>
          <w:tcPr>
            <w:tcW w:w="3057" w:type="dxa"/>
            <w:tcBorders>
              <w:bottom w:val="single" w:sz="4" w:space="0" w:color="auto"/>
            </w:tcBorders>
            <w:shd w:val="clear" w:color="auto" w:fill="auto"/>
            <w:vAlign w:val="bottom"/>
          </w:tcPr>
          <w:p w:rsidR="00B53446" w:rsidRPr="00670B96" w:rsidRDefault="00B53446" w:rsidP="008A51EA">
            <w:pPr>
              <w:spacing w:line="240" w:lineRule="auto"/>
              <w:rPr>
                <w:rFonts w:eastAsia="Times New Roman"/>
                <w:sz w:val="20"/>
                <w:szCs w:val="20"/>
              </w:rPr>
            </w:pPr>
            <w:r w:rsidRPr="00670B96">
              <w:rPr>
                <w:rFonts w:eastAsia="Times New Roman"/>
                <w:sz w:val="20"/>
                <w:szCs w:val="20"/>
              </w:rPr>
              <w:t xml:space="preserve">3-ketoacyl-CoA synthase </w:t>
            </w:r>
          </w:p>
        </w:tc>
      </w:tr>
    </w:tbl>
    <w:p w:rsidR="00B53446" w:rsidRPr="00670B96" w:rsidRDefault="00B53446" w:rsidP="00B53446">
      <w:pPr>
        <w:rPr>
          <w:sz w:val="20"/>
          <w:szCs w:val="20"/>
        </w:rPr>
      </w:pPr>
    </w:p>
    <w:p w:rsidR="00F86172" w:rsidRDefault="00B53446" w:rsidP="00AA00AE">
      <w:pPr>
        <w:rPr>
          <w:sz w:val="20"/>
          <w:szCs w:val="20"/>
        </w:rPr>
      </w:pPr>
      <w:r w:rsidRPr="00670B96">
        <w:rPr>
          <w:sz w:val="20"/>
          <w:szCs w:val="20"/>
        </w:rPr>
        <w:t>CBS-UP = genes up-regulated in basal plate (down regulated in callus); CAL-UP = genes up-regulated in callus (down regulated in basal plate); (-) indicates the transcripts are either expressed in basal plate or callus but not in both, th</w:t>
      </w:r>
      <w:r w:rsidR="00F86172">
        <w:rPr>
          <w:sz w:val="20"/>
          <w:szCs w:val="20"/>
        </w:rPr>
        <w:t>erefore showing no fold change.</w:t>
      </w:r>
    </w:p>
    <w:p w:rsidR="00547E46" w:rsidRDefault="00547E46" w:rsidP="00232895">
      <w:pPr>
        <w:rPr>
          <w:sz w:val="20"/>
          <w:szCs w:val="20"/>
        </w:rPr>
        <w:sectPr w:rsidR="00547E46" w:rsidSect="00232895">
          <w:headerReference w:type="default" r:id="rId85"/>
          <w:pgSz w:w="11906" w:h="16838"/>
          <w:pgMar w:top="11" w:right="1134" w:bottom="720" w:left="1134" w:header="708" w:footer="708" w:gutter="0"/>
          <w:cols w:space="708"/>
          <w:docGrid w:linePitch="360"/>
        </w:sectPr>
      </w:pPr>
    </w:p>
    <w:p w:rsidR="00232895" w:rsidRDefault="00166057" w:rsidP="00232895">
      <w:pPr>
        <w:rPr>
          <w:sz w:val="20"/>
          <w:szCs w:val="20"/>
        </w:rPr>
      </w:pPr>
      <w:r>
        <w:rPr>
          <w:b/>
          <w:sz w:val="20"/>
          <w:szCs w:val="20"/>
        </w:rPr>
        <w:lastRenderedPageBreak/>
        <w:t>Table 3</w:t>
      </w:r>
    </w:p>
    <w:tbl>
      <w:tblPr>
        <w:tblW w:w="4982" w:type="pct"/>
        <w:tblLayout w:type="fixed"/>
        <w:tblLook w:val="04A0" w:firstRow="1" w:lastRow="0" w:firstColumn="1" w:lastColumn="0" w:noHBand="0" w:noVBand="1"/>
      </w:tblPr>
      <w:tblGrid>
        <w:gridCol w:w="2553"/>
        <w:gridCol w:w="909"/>
        <w:gridCol w:w="24"/>
        <w:gridCol w:w="947"/>
        <w:gridCol w:w="947"/>
        <w:gridCol w:w="947"/>
        <w:gridCol w:w="2705"/>
        <w:gridCol w:w="5814"/>
      </w:tblGrid>
      <w:tr w:rsidR="00CD5E6C" w:rsidRPr="000C0315" w:rsidTr="009012B1">
        <w:trPr>
          <w:trHeight w:val="301"/>
        </w:trPr>
        <w:tc>
          <w:tcPr>
            <w:tcW w:w="5000" w:type="pct"/>
            <w:gridSpan w:val="8"/>
            <w:tcBorders>
              <w:top w:val="single" w:sz="4" w:space="0" w:color="auto"/>
              <w:bottom w:val="single" w:sz="4" w:space="0" w:color="auto"/>
            </w:tcBorders>
            <w:shd w:val="clear" w:color="auto" w:fill="auto"/>
            <w:noWrap/>
            <w:hideMark/>
          </w:tcPr>
          <w:p w:rsidR="00CD5E6C" w:rsidRPr="000C0315" w:rsidRDefault="00CD5E6C" w:rsidP="009012B1">
            <w:pPr>
              <w:spacing w:before="100" w:beforeAutospacing="1" w:after="100" w:afterAutospacing="1" w:line="240" w:lineRule="auto"/>
              <w:rPr>
                <w:rFonts w:eastAsia="Times New Roman"/>
                <w:color w:val="000000"/>
                <w:sz w:val="19"/>
                <w:szCs w:val="19"/>
              </w:rPr>
            </w:pPr>
            <w:r w:rsidRPr="000C0315">
              <w:rPr>
                <w:rFonts w:eastAsia="Times New Roman"/>
                <w:color w:val="000000"/>
                <w:sz w:val="19"/>
                <w:szCs w:val="19"/>
              </w:rPr>
              <w:t>Carlton basal plate</w:t>
            </w:r>
          </w:p>
        </w:tc>
      </w:tr>
      <w:tr w:rsidR="00CD5E6C" w:rsidRPr="000C0315" w:rsidTr="009012B1">
        <w:trPr>
          <w:trHeight w:val="301"/>
        </w:trPr>
        <w:tc>
          <w:tcPr>
            <w:tcW w:w="860" w:type="pct"/>
            <w:tcBorders>
              <w:top w:val="single" w:sz="4" w:space="0" w:color="auto"/>
              <w:bottom w:val="single" w:sz="4" w:space="0" w:color="auto"/>
            </w:tcBorders>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Pathway name</w:t>
            </w:r>
          </w:p>
          <w:p w:rsidR="00CD5E6C" w:rsidRPr="000C0315" w:rsidRDefault="00CD5E6C" w:rsidP="009012B1">
            <w:pPr>
              <w:spacing w:line="240" w:lineRule="auto"/>
              <w:rPr>
                <w:rFonts w:eastAsia="Times New Roman"/>
                <w:color w:val="000000"/>
                <w:sz w:val="19"/>
                <w:szCs w:val="19"/>
              </w:rPr>
            </w:pPr>
          </w:p>
        </w:tc>
        <w:tc>
          <w:tcPr>
            <w:tcW w:w="314" w:type="pct"/>
            <w:gridSpan w:val="2"/>
            <w:tcBorders>
              <w:top w:val="single" w:sz="4" w:space="0" w:color="auto"/>
              <w:bottom w:val="single" w:sz="4" w:space="0" w:color="auto"/>
            </w:tcBorders>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Entities found</w:t>
            </w:r>
          </w:p>
        </w:tc>
        <w:tc>
          <w:tcPr>
            <w:tcW w:w="319" w:type="pct"/>
            <w:tcBorders>
              <w:top w:val="single" w:sz="4" w:space="0" w:color="auto"/>
              <w:bottom w:val="single" w:sz="4" w:space="0" w:color="auto"/>
            </w:tcBorders>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Entities total</w:t>
            </w:r>
          </w:p>
        </w:tc>
        <w:tc>
          <w:tcPr>
            <w:tcW w:w="319" w:type="pct"/>
            <w:tcBorders>
              <w:top w:val="single" w:sz="4" w:space="0" w:color="auto"/>
              <w:bottom w:val="single" w:sz="4" w:space="0" w:color="auto"/>
            </w:tcBorders>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Entities p-value</w:t>
            </w:r>
          </w:p>
        </w:tc>
        <w:tc>
          <w:tcPr>
            <w:tcW w:w="319" w:type="pct"/>
            <w:tcBorders>
              <w:top w:val="single" w:sz="4" w:space="0" w:color="auto"/>
              <w:bottom w:val="single" w:sz="4" w:space="0" w:color="auto"/>
            </w:tcBorders>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Entities FDR</w:t>
            </w:r>
          </w:p>
        </w:tc>
        <w:tc>
          <w:tcPr>
            <w:tcW w:w="911" w:type="pct"/>
            <w:tcBorders>
              <w:top w:val="single" w:sz="4" w:space="0" w:color="auto"/>
              <w:bottom w:val="single" w:sz="4" w:space="0" w:color="auto"/>
            </w:tcBorders>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Mapped entities</w:t>
            </w:r>
          </w:p>
          <w:p w:rsidR="00CD5E6C" w:rsidRPr="000C0315" w:rsidRDefault="00B53446" w:rsidP="009012B1">
            <w:pPr>
              <w:spacing w:line="240" w:lineRule="auto"/>
              <w:rPr>
                <w:rFonts w:eastAsia="Times New Roman"/>
                <w:color w:val="000000"/>
                <w:sz w:val="19"/>
                <w:szCs w:val="19"/>
              </w:rPr>
            </w:pPr>
            <w:r>
              <w:rPr>
                <w:rFonts w:eastAsia="Times New Roman"/>
                <w:color w:val="000000"/>
                <w:sz w:val="19"/>
                <w:szCs w:val="19"/>
              </w:rPr>
              <w:t>(UniProt ID)</w:t>
            </w:r>
          </w:p>
        </w:tc>
        <w:tc>
          <w:tcPr>
            <w:tcW w:w="1958" w:type="pct"/>
            <w:tcBorders>
              <w:top w:val="single" w:sz="4" w:space="0" w:color="auto"/>
              <w:bottom w:val="single" w:sz="4" w:space="0" w:color="auto"/>
            </w:tcBorders>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i/>
                <w:color w:val="000000"/>
                <w:sz w:val="19"/>
                <w:szCs w:val="19"/>
              </w:rPr>
              <w:t xml:space="preserve">Narcissus </w:t>
            </w:r>
            <w:r w:rsidRPr="000C0315">
              <w:rPr>
                <w:rFonts w:eastAsia="Times New Roman"/>
                <w:color w:val="000000"/>
                <w:sz w:val="19"/>
                <w:szCs w:val="19"/>
              </w:rPr>
              <w:t>transcript IDs</w:t>
            </w:r>
          </w:p>
          <w:p w:rsidR="00CD5E6C" w:rsidRPr="000C0315" w:rsidRDefault="00CD5E6C" w:rsidP="009012B1">
            <w:pPr>
              <w:spacing w:line="240" w:lineRule="auto"/>
              <w:rPr>
                <w:rFonts w:eastAsia="Times New Roman"/>
                <w:color w:val="000000"/>
                <w:sz w:val="19"/>
                <w:szCs w:val="19"/>
              </w:rPr>
            </w:pPr>
          </w:p>
        </w:tc>
      </w:tr>
      <w:tr w:rsidR="00CD5E6C" w:rsidRPr="000C0315" w:rsidTr="009012B1">
        <w:trPr>
          <w:trHeight w:val="301"/>
        </w:trPr>
        <w:tc>
          <w:tcPr>
            <w:tcW w:w="860" w:type="pct"/>
            <w:tcBorders>
              <w:top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Plant pathways</w:t>
            </w:r>
          </w:p>
        </w:tc>
        <w:tc>
          <w:tcPr>
            <w:tcW w:w="314" w:type="pct"/>
            <w:gridSpan w:val="2"/>
            <w:tcBorders>
              <w:top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6</w:t>
            </w:r>
          </w:p>
        </w:tc>
        <w:tc>
          <w:tcPr>
            <w:tcW w:w="319" w:type="pct"/>
            <w:tcBorders>
              <w:top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1499</w:t>
            </w:r>
          </w:p>
        </w:tc>
        <w:tc>
          <w:tcPr>
            <w:tcW w:w="3508" w:type="pct"/>
            <w:gridSpan w:val="4"/>
            <w:tcBorders>
              <w:top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p>
        </w:tc>
      </w:tr>
      <w:tr w:rsidR="00CD5E6C" w:rsidRPr="000C0315" w:rsidTr="009012B1">
        <w:trPr>
          <w:trHeight w:val="301"/>
        </w:trPr>
        <w:tc>
          <w:tcPr>
            <w:tcW w:w="860"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S-adenosyl-L-methionine cycle</w:t>
            </w:r>
          </w:p>
          <w:p w:rsidR="00CD5E6C" w:rsidRPr="000C0315" w:rsidRDefault="00CD5E6C" w:rsidP="009012B1">
            <w:pPr>
              <w:spacing w:line="240" w:lineRule="auto"/>
              <w:jc w:val="left"/>
              <w:rPr>
                <w:rFonts w:eastAsia="Times New Roman"/>
                <w:color w:val="000000"/>
                <w:sz w:val="19"/>
                <w:szCs w:val="19"/>
              </w:rPr>
            </w:pPr>
          </w:p>
        </w:tc>
        <w:tc>
          <w:tcPr>
            <w:tcW w:w="314" w:type="pct"/>
            <w:gridSpan w:val="2"/>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6</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0.013</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0.09</w:t>
            </w:r>
          </w:p>
          <w:p w:rsidR="00CD5E6C" w:rsidRPr="000C0315" w:rsidRDefault="00CD5E6C" w:rsidP="009012B1">
            <w:pPr>
              <w:spacing w:line="240" w:lineRule="auto"/>
              <w:jc w:val="left"/>
              <w:rPr>
                <w:rFonts w:eastAsia="Times New Roman"/>
                <w:color w:val="000000"/>
                <w:sz w:val="19"/>
                <w:szCs w:val="19"/>
              </w:rPr>
            </w:pPr>
          </w:p>
        </w:tc>
        <w:tc>
          <w:tcPr>
            <w:tcW w:w="911"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Q9LGU6; Q0DKY4</w:t>
            </w:r>
          </w:p>
          <w:p w:rsidR="00CD5E6C" w:rsidRPr="000C0315" w:rsidRDefault="00CD5E6C" w:rsidP="009012B1">
            <w:pPr>
              <w:spacing w:line="240" w:lineRule="auto"/>
              <w:jc w:val="left"/>
              <w:rPr>
                <w:rFonts w:eastAsia="Times New Roman"/>
                <w:color w:val="000000"/>
                <w:sz w:val="19"/>
                <w:szCs w:val="19"/>
              </w:rPr>
            </w:pPr>
          </w:p>
        </w:tc>
        <w:tc>
          <w:tcPr>
            <w:tcW w:w="1958" w:type="pct"/>
            <w:shd w:val="clear" w:color="auto" w:fill="auto"/>
            <w:noWrap/>
            <w:hideMark/>
          </w:tcPr>
          <w:p w:rsidR="00CD5E6C" w:rsidRPr="000C0315" w:rsidRDefault="00CD5E6C" w:rsidP="009012B1">
            <w:pPr>
              <w:spacing w:line="240" w:lineRule="auto"/>
              <w:rPr>
                <w:rFonts w:eastAsia="Times New Roman"/>
                <w:color w:val="000000" w:themeColor="text1"/>
                <w:sz w:val="19"/>
                <w:szCs w:val="19"/>
              </w:rPr>
            </w:pPr>
            <w:r w:rsidRPr="000C0315">
              <w:rPr>
                <w:rFonts w:eastAsia="Times New Roman"/>
                <w:color w:val="000000" w:themeColor="text1"/>
                <w:sz w:val="19"/>
                <w:szCs w:val="19"/>
              </w:rPr>
              <w:t xml:space="preserve">XLOC_000957, XLOC_000323, XLOC_001134, XLOC_001181, XLOC_001596, XLOC_002071 </w:t>
            </w:r>
          </w:p>
        </w:tc>
      </w:tr>
      <w:tr w:rsidR="00CD5E6C" w:rsidRPr="000C0315" w:rsidTr="009012B1">
        <w:trPr>
          <w:trHeight w:val="301"/>
        </w:trPr>
        <w:tc>
          <w:tcPr>
            <w:tcW w:w="860"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Phenylpropanoid biosynthesis</w:t>
            </w:r>
          </w:p>
          <w:p w:rsidR="00CD5E6C" w:rsidRPr="000C0315" w:rsidRDefault="00CD5E6C" w:rsidP="009012B1">
            <w:pPr>
              <w:spacing w:line="240" w:lineRule="auto"/>
              <w:jc w:val="left"/>
              <w:rPr>
                <w:rFonts w:eastAsia="Times New Roman"/>
                <w:color w:val="000000"/>
                <w:sz w:val="19"/>
                <w:szCs w:val="19"/>
              </w:rPr>
            </w:pPr>
          </w:p>
        </w:tc>
        <w:tc>
          <w:tcPr>
            <w:tcW w:w="314" w:type="pct"/>
            <w:gridSpan w:val="2"/>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3</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26</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0.03</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0.11</w:t>
            </w:r>
          </w:p>
          <w:p w:rsidR="00CD5E6C" w:rsidRPr="000C0315" w:rsidRDefault="00CD5E6C" w:rsidP="009012B1">
            <w:pPr>
              <w:spacing w:line="240" w:lineRule="auto"/>
              <w:jc w:val="left"/>
              <w:rPr>
                <w:rFonts w:eastAsia="Times New Roman"/>
                <w:color w:val="000000"/>
                <w:sz w:val="19"/>
                <w:szCs w:val="19"/>
              </w:rPr>
            </w:pPr>
          </w:p>
        </w:tc>
        <w:tc>
          <w:tcPr>
            <w:tcW w:w="911"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A2Y626; Q6ERR3; B8BB38</w:t>
            </w:r>
          </w:p>
          <w:p w:rsidR="00CD5E6C" w:rsidRPr="000C0315" w:rsidRDefault="00CD5E6C" w:rsidP="009012B1">
            <w:pPr>
              <w:spacing w:line="240" w:lineRule="auto"/>
              <w:jc w:val="left"/>
              <w:rPr>
                <w:rFonts w:eastAsia="Times New Roman"/>
                <w:color w:val="000000"/>
                <w:sz w:val="19"/>
                <w:szCs w:val="19"/>
              </w:rPr>
            </w:pPr>
          </w:p>
        </w:tc>
        <w:tc>
          <w:tcPr>
            <w:tcW w:w="1958" w:type="pct"/>
            <w:shd w:val="clear" w:color="auto" w:fill="auto"/>
            <w:noWrap/>
            <w:hideMark/>
          </w:tcPr>
          <w:p w:rsidR="00CD5E6C" w:rsidRPr="000C0315" w:rsidRDefault="00CD5E6C" w:rsidP="009012B1">
            <w:pPr>
              <w:spacing w:line="240" w:lineRule="auto"/>
              <w:ind w:right="-31"/>
              <w:rPr>
                <w:rFonts w:eastAsia="Times New Roman"/>
                <w:color w:val="000000"/>
                <w:sz w:val="19"/>
                <w:szCs w:val="19"/>
              </w:rPr>
            </w:pPr>
            <w:r w:rsidRPr="000C0315">
              <w:rPr>
                <w:rFonts w:eastAsia="Times New Roman"/>
                <w:color w:val="000000"/>
                <w:sz w:val="19"/>
                <w:szCs w:val="19"/>
              </w:rPr>
              <w:t>XLOC_000518, XLOC_001407, XLOC_001126, XLOC_000218, XLOC_001299, XLOC_000831, XLOC_000898</w:t>
            </w:r>
          </w:p>
        </w:tc>
      </w:tr>
      <w:tr w:rsidR="00CD5E6C" w:rsidRPr="000C0315" w:rsidTr="009012B1">
        <w:trPr>
          <w:trHeight w:val="664"/>
        </w:trPr>
        <w:tc>
          <w:tcPr>
            <w:tcW w:w="860"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Secondary metabolite biosynthesis</w:t>
            </w:r>
          </w:p>
          <w:p w:rsidR="00CD5E6C" w:rsidRPr="000C0315" w:rsidRDefault="00CD5E6C" w:rsidP="009012B1">
            <w:pPr>
              <w:spacing w:line="240" w:lineRule="auto"/>
              <w:jc w:val="left"/>
              <w:rPr>
                <w:rFonts w:eastAsia="Times New Roman"/>
                <w:color w:val="000000"/>
                <w:sz w:val="19"/>
                <w:szCs w:val="19"/>
              </w:rPr>
            </w:pPr>
          </w:p>
        </w:tc>
        <w:tc>
          <w:tcPr>
            <w:tcW w:w="314" w:type="pct"/>
            <w:gridSpan w:val="2"/>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3</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203</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0.94</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0.94</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911"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A2Y626; Q6ERR3; B8BB38</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1958" w:type="pct"/>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XLOC_000518, XLOC_001407, XLOC_001126, XLOC_000218, XLOC_001299, XLOC_000831, XLOC_000898, XLOC_000263, XLOC_000481, XLOC_000686, XLOC_000163, XLOC_000396, XLOC_001312</w:t>
            </w:r>
          </w:p>
        </w:tc>
      </w:tr>
      <w:tr w:rsidR="00CD5E6C" w:rsidRPr="000C0315" w:rsidTr="009012B1">
        <w:trPr>
          <w:trHeight w:val="242"/>
        </w:trPr>
        <w:tc>
          <w:tcPr>
            <w:tcW w:w="860"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Amino acid metabolism</w:t>
            </w:r>
          </w:p>
        </w:tc>
        <w:tc>
          <w:tcPr>
            <w:tcW w:w="314" w:type="pct"/>
            <w:gridSpan w:val="2"/>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3</w:t>
            </w: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211</w:t>
            </w: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0.95</w:t>
            </w: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0.95</w:t>
            </w:r>
          </w:p>
        </w:tc>
        <w:tc>
          <w:tcPr>
            <w:tcW w:w="911"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Q9LGU6; Q0DKY4; Q0JC10</w:t>
            </w:r>
          </w:p>
        </w:tc>
        <w:tc>
          <w:tcPr>
            <w:tcW w:w="1958" w:type="pct"/>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XLOC_000397, XLOC_000094</w:t>
            </w:r>
          </w:p>
        </w:tc>
      </w:tr>
      <w:tr w:rsidR="00CD5E6C" w:rsidRPr="000C0315" w:rsidTr="009012B1">
        <w:trPr>
          <w:trHeight w:val="170"/>
        </w:trPr>
        <w:tc>
          <w:tcPr>
            <w:tcW w:w="860"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Hormone biosynthesis</w:t>
            </w:r>
          </w:p>
          <w:p w:rsidR="00CD5E6C" w:rsidRPr="000C0315" w:rsidRDefault="00CD5E6C" w:rsidP="009012B1">
            <w:pPr>
              <w:spacing w:line="240" w:lineRule="auto"/>
              <w:jc w:val="left"/>
              <w:rPr>
                <w:rFonts w:eastAsia="Times New Roman"/>
                <w:color w:val="000000"/>
                <w:sz w:val="19"/>
                <w:szCs w:val="19"/>
              </w:rPr>
            </w:pPr>
          </w:p>
        </w:tc>
        <w:tc>
          <w:tcPr>
            <w:tcW w:w="314" w:type="pct"/>
            <w:gridSpan w:val="2"/>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w:t>
            </w:r>
          </w:p>
          <w:p w:rsidR="00CD5E6C" w:rsidRPr="000C0315" w:rsidRDefault="00CD5E6C" w:rsidP="009012B1">
            <w:pPr>
              <w:spacing w:line="240" w:lineRule="auto"/>
              <w:jc w:val="left"/>
              <w:rPr>
                <w:rFonts w:eastAsia="Times New Roman"/>
                <w:color w:val="000000"/>
                <w:sz w:val="19"/>
                <w:szCs w:val="19"/>
              </w:rPr>
            </w:pPr>
          </w:p>
        </w:tc>
        <w:tc>
          <w:tcPr>
            <w:tcW w:w="319"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449</w:t>
            </w:r>
          </w:p>
          <w:p w:rsidR="00CD5E6C" w:rsidRPr="000C0315" w:rsidRDefault="00CD5E6C" w:rsidP="009012B1">
            <w:pPr>
              <w:spacing w:line="240" w:lineRule="auto"/>
              <w:jc w:val="left"/>
              <w:rPr>
                <w:rFonts w:eastAsia="Times New Roman"/>
                <w:color w:val="000000"/>
                <w:sz w:val="19"/>
                <w:szCs w:val="19"/>
              </w:rPr>
            </w:pPr>
          </w:p>
        </w:tc>
        <w:tc>
          <w:tcPr>
            <w:tcW w:w="319"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0.99</w:t>
            </w:r>
          </w:p>
          <w:p w:rsidR="00CD5E6C" w:rsidRPr="000C0315" w:rsidRDefault="00CD5E6C" w:rsidP="009012B1">
            <w:pPr>
              <w:spacing w:line="240" w:lineRule="auto"/>
              <w:jc w:val="left"/>
              <w:rPr>
                <w:rFonts w:eastAsia="Times New Roman"/>
                <w:color w:val="000000"/>
                <w:sz w:val="19"/>
                <w:szCs w:val="19"/>
              </w:rPr>
            </w:pPr>
          </w:p>
        </w:tc>
        <w:tc>
          <w:tcPr>
            <w:tcW w:w="319"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0.99</w:t>
            </w:r>
          </w:p>
          <w:p w:rsidR="00CD5E6C" w:rsidRPr="000C0315" w:rsidRDefault="00CD5E6C" w:rsidP="009012B1">
            <w:pPr>
              <w:spacing w:line="240" w:lineRule="auto"/>
              <w:jc w:val="left"/>
              <w:rPr>
                <w:rFonts w:eastAsia="Times New Roman"/>
                <w:color w:val="000000"/>
                <w:sz w:val="19"/>
                <w:szCs w:val="19"/>
              </w:rPr>
            </w:pPr>
          </w:p>
        </w:tc>
        <w:tc>
          <w:tcPr>
            <w:tcW w:w="911"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Q9LGU6; Q0DKY4</w:t>
            </w:r>
          </w:p>
          <w:p w:rsidR="00CD5E6C" w:rsidRPr="000C0315" w:rsidRDefault="00CD5E6C" w:rsidP="009012B1">
            <w:pPr>
              <w:spacing w:line="240" w:lineRule="auto"/>
              <w:jc w:val="left"/>
              <w:rPr>
                <w:rFonts w:eastAsia="Times New Roman"/>
                <w:color w:val="000000"/>
                <w:sz w:val="19"/>
                <w:szCs w:val="19"/>
              </w:rPr>
            </w:pPr>
          </w:p>
        </w:tc>
        <w:tc>
          <w:tcPr>
            <w:tcW w:w="1958" w:type="pct"/>
            <w:tcBorders>
              <w:bottom w:val="single" w:sz="4" w:space="0" w:color="auto"/>
            </w:tcBorders>
            <w:shd w:val="clear" w:color="auto" w:fill="auto"/>
            <w:noWrap/>
            <w:hideMark/>
          </w:tcPr>
          <w:p w:rsidR="00CD5E6C" w:rsidRPr="000C0315" w:rsidRDefault="00CD5E6C" w:rsidP="009012B1">
            <w:pPr>
              <w:spacing w:line="240" w:lineRule="auto"/>
              <w:rPr>
                <w:rFonts w:eastAsia="Times New Roman"/>
                <w:color w:val="000000" w:themeColor="text1"/>
                <w:sz w:val="19"/>
                <w:szCs w:val="19"/>
              </w:rPr>
            </w:pPr>
            <w:r w:rsidRPr="000C0315">
              <w:rPr>
                <w:rFonts w:eastAsia="Times New Roman"/>
                <w:color w:val="000000" w:themeColor="text1"/>
                <w:sz w:val="19"/>
                <w:szCs w:val="19"/>
              </w:rPr>
              <w:t>XLOC_000957, XLOC_000323, XLOC_001134, XLOC_001181, XLOC_001596, XLOC_002071</w:t>
            </w:r>
          </w:p>
          <w:p w:rsidR="0055095F" w:rsidRPr="000C0315" w:rsidRDefault="0055095F" w:rsidP="009012B1">
            <w:pPr>
              <w:spacing w:line="240" w:lineRule="auto"/>
              <w:rPr>
                <w:rFonts w:eastAsia="Times New Roman"/>
                <w:color w:val="000000" w:themeColor="text1"/>
                <w:sz w:val="4"/>
                <w:szCs w:val="4"/>
              </w:rPr>
            </w:pPr>
          </w:p>
        </w:tc>
      </w:tr>
      <w:tr w:rsidR="00CD5E6C" w:rsidRPr="000C0315" w:rsidTr="009012B1">
        <w:trPr>
          <w:trHeight w:val="301"/>
        </w:trPr>
        <w:tc>
          <w:tcPr>
            <w:tcW w:w="5000" w:type="pct"/>
            <w:gridSpan w:val="8"/>
            <w:tcBorders>
              <w:top w:val="single" w:sz="4" w:space="0" w:color="auto"/>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Callus</w:t>
            </w:r>
          </w:p>
        </w:tc>
      </w:tr>
      <w:tr w:rsidR="00CD5E6C" w:rsidRPr="000C0315" w:rsidTr="009012B1">
        <w:trPr>
          <w:trHeight w:val="301"/>
        </w:trPr>
        <w:tc>
          <w:tcPr>
            <w:tcW w:w="860" w:type="pct"/>
            <w:tcBorders>
              <w:top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Plant pathways</w:t>
            </w:r>
          </w:p>
        </w:tc>
        <w:tc>
          <w:tcPr>
            <w:tcW w:w="306" w:type="pct"/>
            <w:tcBorders>
              <w:top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31</w:t>
            </w:r>
          </w:p>
        </w:tc>
        <w:tc>
          <w:tcPr>
            <w:tcW w:w="327" w:type="pct"/>
            <w:gridSpan w:val="2"/>
            <w:tcBorders>
              <w:top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1499</w:t>
            </w:r>
          </w:p>
        </w:tc>
        <w:tc>
          <w:tcPr>
            <w:tcW w:w="3508" w:type="pct"/>
            <w:gridSpan w:val="4"/>
            <w:tcBorders>
              <w:top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p>
        </w:tc>
      </w:tr>
      <w:tr w:rsidR="00CD5E6C" w:rsidRPr="000C0315" w:rsidTr="009012B1">
        <w:trPr>
          <w:trHeight w:val="946"/>
        </w:trPr>
        <w:tc>
          <w:tcPr>
            <w:tcW w:w="860"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Phenylpropanoid biosynthesis</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306"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8</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327" w:type="pct"/>
            <w:gridSpan w:val="2"/>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26</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0.001</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0.015</w:t>
            </w: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p w:rsidR="00CD5E6C" w:rsidRPr="000C0315" w:rsidRDefault="00CD5E6C" w:rsidP="009012B1">
            <w:pPr>
              <w:spacing w:line="240" w:lineRule="auto"/>
              <w:jc w:val="left"/>
              <w:rPr>
                <w:rFonts w:eastAsia="Times New Roman"/>
                <w:color w:val="000000"/>
                <w:sz w:val="19"/>
                <w:szCs w:val="19"/>
              </w:rPr>
            </w:pPr>
          </w:p>
        </w:tc>
        <w:tc>
          <w:tcPr>
            <w:tcW w:w="911"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Q6YYZ2; Q6ERR3; Q0DV32; Q67W82; P17814; B8BB38; Q42982; Q6ETN3</w:t>
            </w:r>
          </w:p>
        </w:tc>
        <w:tc>
          <w:tcPr>
            <w:tcW w:w="1958" w:type="pct"/>
            <w:shd w:val="clear" w:color="auto" w:fill="auto"/>
            <w:noWrap/>
            <w:hideMark/>
          </w:tcPr>
          <w:p w:rsidR="00CD5E6C" w:rsidRPr="000C0315" w:rsidRDefault="00CD5E6C" w:rsidP="009012B1">
            <w:pPr>
              <w:spacing w:line="240" w:lineRule="auto"/>
              <w:rPr>
                <w:rFonts w:eastAsia="Times New Roman"/>
                <w:color w:val="000000" w:themeColor="text1"/>
                <w:sz w:val="19"/>
                <w:szCs w:val="19"/>
              </w:rPr>
            </w:pPr>
            <w:r w:rsidRPr="000C0315">
              <w:rPr>
                <w:color w:val="000000"/>
                <w:sz w:val="19"/>
                <w:szCs w:val="19"/>
              </w:rPr>
              <w:t>XLOC_001712</w:t>
            </w:r>
            <w:r w:rsidRPr="000C0315">
              <w:rPr>
                <w:sz w:val="19"/>
                <w:szCs w:val="19"/>
              </w:rPr>
              <w:t xml:space="preserve">, </w:t>
            </w:r>
            <w:r w:rsidRPr="000C0315">
              <w:rPr>
                <w:color w:val="000000"/>
                <w:sz w:val="19"/>
                <w:szCs w:val="19"/>
              </w:rPr>
              <w:t xml:space="preserve">XLOC_001713, </w:t>
            </w:r>
            <w:r w:rsidRPr="000C0315">
              <w:rPr>
                <w:rFonts w:eastAsia="Times New Roman"/>
                <w:color w:val="000000" w:themeColor="text1"/>
                <w:sz w:val="19"/>
                <w:szCs w:val="19"/>
              </w:rPr>
              <w:t>XLOC_001353, XLOC_001227, XLOC_001353, XLOC_000670, XLOC_001171, XLOC_001310, XLOC_001760, XLOC_000155, XLOC_001462, XLOC_001484, XLOC_001597, XLOC_001851, XLOC_000446, XLOC_001557</w:t>
            </w:r>
          </w:p>
        </w:tc>
      </w:tr>
      <w:tr w:rsidR="00CD5E6C" w:rsidRPr="000C0315" w:rsidTr="009012B1">
        <w:trPr>
          <w:trHeight w:val="491"/>
        </w:trPr>
        <w:tc>
          <w:tcPr>
            <w:tcW w:w="860"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Flavonoid biosynthesis</w:t>
            </w:r>
          </w:p>
          <w:p w:rsidR="00CD5E6C" w:rsidRPr="000C0315" w:rsidRDefault="00CD5E6C" w:rsidP="009012B1">
            <w:pPr>
              <w:spacing w:line="240" w:lineRule="auto"/>
              <w:jc w:val="left"/>
              <w:rPr>
                <w:rFonts w:eastAsia="Times New Roman"/>
                <w:color w:val="000000"/>
                <w:sz w:val="19"/>
                <w:szCs w:val="19"/>
              </w:rPr>
            </w:pPr>
          </w:p>
        </w:tc>
        <w:tc>
          <w:tcPr>
            <w:tcW w:w="306"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6</w:t>
            </w:r>
          </w:p>
          <w:p w:rsidR="00CD5E6C" w:rsidRPr="000C0315" w:rsidRDefault="00CD5E6C" w:rsidP="009012B1">
            <w:pPr>
              <w:spacing w:line="240" w:lineRule="auto"/>
              <w:jc w:val="left"/>
              <w:rPr>
                <w:rFonts w:eastAsia="Times New Roman"/>
                <w:color w:val="000000"/>
                <w:sz w:val="19"/>
                <w:szCs w:val="19"/>
              </w:rPr>
            </w:pPr>
          </w:p>
        </w:tc>
        <w:tc>
          <w:tcPr>
            <w:tcW w:w="327" w:type="pct"/>
            <w:gridSpan w:val="2"/>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18</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0.003</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0.03</w:t>
            </w:r>
          </w:p>
          <w:p w:rsidR="00CD5E6C" w:rsidRPr="000C0315" w:rsidRDefault="00CD5E6C" w:rsidP="009012B1">
            <w:pPr>
              <w:spacing w:line="240" w:lineRule="auto"/>
              <w:jc w:val="left"/>
              <w:rPr>
                <w:rFonts w:eastAsia="Times New Roman"/>
                <w:color w:val="000000"/>
                <w:sz w:val="19"/>
                <w:szCs w:val="19"/>
              </w:rPr>
            </w:pPr>
          </w:p>
        </w:tc>
        <w:tc>
          <w:tcPr>
            <w:tcW w:w="911"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Q6YYZ2; Q0DV32; Q67W82; P17814; Q42982; Q6ETN3</w:t>
            </w:r>
          </w:p>
        </w:tc>
        <w:tc>
          <w:tcPr>
            <w:tcW w:w="1958" w:type="pct"/>
            <w:shd w:val="clear" w:color="auto" w:fill="auto"/>
            <w:noWrap/>
            <w:hideMark/>
          </w:tcPr>
          <w:p w:rsidR="00CD5E6C" w:rsidRPr="000C0315" w:rsidRDefault="00CD5E6C" w:rsidP="009012B1">
            <w:pPr>
              <w:spacing w:line="240" w:lineRule="auto"/>
              <w:rPr>
                <w:rFonts w:eastAsia="Times New Roman"/>
                <w:color w:val="000000" w:themeColor="text1"/>
                <w:sz w:val="19"/>
                <w:szCs w:val="19"/>
              </w:rPr>
            </w:pPr>
            <w:r w:rsidRPr="000C0315">
              <w:rPr>
                <w:rFonts w:eastAsia="Times New Roman"/>
                <w:color w:val="000000" w:themeColor="text1"/>
                <w:sz w:val="19"/>
                <w:szCs w:val="19"/>
              </w:rPr>
              <w:t>XLOC_001227, XLOC_001353</w:t>
            </w:r>
          </w:p>
          <w:p w:rsidR="00CD5E6C" w:rsidRPr="000C0315" w:rsidRDefault="00CD5E6C" w:rsidP="009012B1">
            <w:pPr>
              <w:spacing w:line="240" w:lineRule="auto"/>
              <w:rPr>
                <w:rFonts w:eastAsia="Times New Roman"/>
                <w:color w:val="000000" w:themeColor="text1"/>
                <w:sz w:val="19"/>
                <w:szCs w:val="19"/>
              </w:rPr>
            </w:pPr>
          </w:p>
        </w:tc>
      </w:tr>
      <w:tr w:rsidR="00CD5E6C" w:rsidRPr="000C0315" w:rsidTr="009012B1">
        <w:trPr>
          <w:trHeight w:val="474"/>
        </w:trPr>
        <w:tc>
          <w:tcPr>
            <w:tcW w:w="860"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 xml:space="preserve">Glutamate biosynthesis </w:t>
            </w:r>
          </w:p>
          <w:p w:rsidR="00CD5E6C" w:rsidRPr="000C0315" w:rsidRDefault="00CD5E6C" w:rsidP="009012B1">
            <w:pPr>
              <w:spacing w:line="240" w:lineRule="auto"/>
              <w:jc w:val="left"/>
              <w:rPr>
                <w:rFonts w:eastAsia="Times New Roman"/>
                <w:color w:val="000000"/>
                <w:sz w:val="19"/>
                <w:szCs w:val="19"/>
              </w:rPr>
            </w:pPr>
          </w:p>
        </w:tc>
        <w:tc>
          <w:tcPr>
            <w:tcW w:w="306"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w:t>
            </w:r>
          </w:p>
          <w:p w:rsidR="00CD5E6C" w:rsidRPr="000C0315" w:rsidRDefault="00CD5E6C" w:rsidP="009012B1">
            <w:pPr>
              <w:spacing w:line="240" w:lineRule="auto"/>
              <w:jc w:val="left"/>
              <w:rPr>
                <w:rFonts w:eastAsia="Times New Roman"/>
                <w:color w:val="000000"/>
                <w:sz w:val="19"/>
                <w:szCs w:val="19"/>
              </w:rPr>
            </w:pPr>
          </w:p>
        </w:tc>
        <w:tc>
          <w:tcPr>
            <w:tcW w:w="327" w:type="pct"/>
            <w:gridSpan w:val="2"/>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0.011</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0.05</w:t>
            </w:r>
          </w:p>
          <w:p w:rsidR="00CD5E6C" w:rsidRPr="000C0315" w:rsidRDefault="00CD5E6C" w:rsidP="009012B1">
            <w:pPr>
              <w:spacing w:line="240" w:lineRule="auto"/>
              <w:jc w:val="left"/>
              <w:rPr>
                <w:rFonts w:eastAsia="Times New Roman"/>
                <w:color w:val="000000"/>
                <w:sz w:val="19"/>
                <w:szCs w:val="19"/>
              </w:rPr>
            </w:pPr>
          </w:p>
        </w:tc>
        <w:tc>
          <w:tcPr>
            <w:tcW w:w="911"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Q0JKD0; Q0DG35</w:t>
            </w:r>
          </w:p>
          <w:p w:rsidR="00CD5E6C" w:rsidRPr="000C0315" w:rsidRDefault="00CD5E6C" w:rsidP="009012B1">
            <w:pPr>
              <w:spacing w:line="240" w:lineRule="auto"/>
              <w:jc w:val="left"/>
              <w:rPr>
                <w:rFonts w:eastAsia="Times New Roman"/>
                <w:color w:val="000000"/>
                <w:sz w:val="19"/>
                <w:szCs w:val="19"/>
              </w:rPr>
            </w:pPr>
          </w:p>
        </w:tc>
        <w:tc>
          <w:tcPr>
            <w:tcW w:w="1958" w:type="pct"/>
            <w:shd w:val="clear" w:color="auto" w:fill="auto"/>
            <w:noWrap/>
            <w:hideMark/>
          </w:tcPr>
          <w:p w:rsidR="00CD5E6C" w:rsidRPr="000C0315" w:rsidRDefault="00CD5E6C" w:rsidP="009012B1">
            <w:pPr>
              <w:spacing w:line="240" w:lineRule="auto"/>
              <w:rPr>
                <w:rFonts w:eastAsia="Times New Roman"/>
                <w:color w:val="000000" w:themeColor="text1"/>
                <w:sz w:val="19"/>
                <w:szCs w:val="19"/>
              </w:rPr>
            </w:pPr>
            <w:r w:rsidRPr="000C0315">
              <w:rPr>
                <w:rFonts w:eastAsia="Times New Roman"/>
                <w:color w:val="000000" w:themeColor="text1"/>
                <w:sz w:val="19"/>
                <w:szCs w:val="19"/>
              </w:rPr>
              <w:t>XLOC_000259, XLOC_000583' XLOC_000892, XLOC_00145, XLOC_00373</w:t>
            </w:r>
          </w:p>
        </w:tc>
      </w:tr>
      <w:tr w:rsidR="00CD5E6C" w:rsidRPr="000C0315" w:rsidTr="009012B1">
        <w:trPr>
          <w:trHeight w:val="301"/>
        </w:trPr>
        <w:tc>
          <w:tcPr>
            <w:tcW w:w="860"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Mevalonate pathway</w:t>
            </w:r>
          </w:p>
          <w:p w:rsidR="00CD5E6C" w:rsidRPr="000C0315" w:rsidRDefault="00CD5E6C" w:rsidP="009012B1">
            <w:pPr>
              <w:spacing w:line="240" w:lineRule="auto"/>
              <w:jc w:val="left"/>
              <w:rPr>
                <w:rFonts w:eastAsia="Times New Roman"/>
                <w:color w:val="000000"/>
                <w:sz w:val="19"/>
                <w:szCs w:val="19"/>
              </w:rPr>
            </w:pPr>
          </w:p>
        </w:tc>
        <w:tc>
          <w:tcPr>
            <w:tcW w:w="306"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w:t>
            </w:r>
          </w:p>
          <w:p w:rsidR="00CD5E6C" w:rsidRPr="000C0315" w:rsidRDefault="00CD5E6C" w:rsidP="009012B1">
            <w:pPr>
              <w:spacing w:line="240" w:lineRule="auto"/>
              <w:jc w:val="left"/>
              <w:rPr>
                <w:rFonts w:eastAsia="Times New Roman"/>
                <w:color w:val="000000"/>
                <w:sz w:val="19"/>
                <w:szCs w:val="19"/>
              </w:rPr>
            </w:pPr>
          </w:p>
        </w:tc>
        <w:tc>
          <w:tcPr>
            <w:tcW w:w="327" w:type="pct"/>
            <w:gridSpan w:val="2"/>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15</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0.33</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0.47</w:t>
            </w:r>
          </w:p>
          <w:p w:rsidR="00CD5E6C" w:rsidRPr="000C0315" w:rsidRDefault="00CD5E6C" w:rsidP="009012B1">
            <w:pPr>
              <w:spacing w:line="240" w:lineRule="auto"/>
              <w:jc w:val="left"/>
              <w:rPr>
                <w:rFonts w:eastAsia="Times New Roman"/>
                <w:color w:val="000000"/>
                <w:sz w:val="19"/>
                <w:szCs w:val="19"/>
              </w:rPr>
            </w:pPr>
          </w:p>
        </w:tc>
        <w:tc>
          <w:tcPr>
            <w:tcW w:w="911" w:type="pct"/>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Q9XHL5; Q0J0M8</w:t>
            </w:r>
          </w:p>
          <w:p w:rsidR="00CD5E6C" w:rsidRPr="000C0315" w:rsidRDefault="00CD5E6C" w:rsidP="009012B1">
            <w:pPr>
              <w:spacing w:line="240" w:lineRule="auto"/>
              <w:jc w:val="left"/>
              <w:rPr>
                <w:rFonts w:eastAsia="Times New Roman"/>
                <w:color w:val="000000"/>
                <w:sz w:val="19"/>
                <w:szCs w:val="19"/>
              </w:rPr>
            </w:pPr>
          </w:p>
        </w:tc>
        <w:tc>
          <w:tcPr>
            <w:tcW w:w="1958" w:type="pct"/>
            <w:shd w:val="clear" w:color="auto" w:fill="auto"/>
            <w:noWrap/>
            <w:hideMark/>
          </w:tcPr>
          <w:p w:rsidR="00CD5E6C" w:rsidRPr="000C0315" w:rsidRDefault="00CD5E6C" w:rsidP="009012B1">
            <w:pPr>
              <w:spacing w:line="240" w:lineRule="auto"/>
              <w:rPr>
                <w:rFonts w:eastAsia="Times New Roman"/>
                <w:sz w:val="19"/>
                <w:szCs w:val="19"/>
              </w:rPr>
            </w:pPr>
            <w:r w:rsidRPr="000C0315">
              <w:rPr>
                <w:rFonts w:eastAsia="Times New Roman"/>
                <w:sz w:val="19"/>
                <w:szCs w:val="19"/>
              </w:rPr>
              <w:t>XLOC_001373, XLOC_001760</w:t>
            </w:r>
          </w:p>
          <w:p w:rsidR="00CD5E6C" w:rsidRPr="000C0315" w:rsidRDefault="00CD5E6C" w:rsidP="009012B1">
            <w:pPr>
              <w:spacing w:line="240" w:lineRule="auto"/>
              <w:rPr>
                <w:rFonts w:eastAsia="Times New Roman"/>
                <w:sz w:val="19"/>
                <w:szCs w:val="19"/>
              </w:rPr>
            </w:pPr>
          </w:p>
        </w:tc>
      </w:tr>
      <w:tr w:rsidR="00CD5E6C" w:rsidRPr="000C0315" w:rsidTr="009012B1">
        <w:trPr>
          <w:trHeight w:val="503"/>
        </w:trPr>
        <w:tc>
          <w:tcPr>
            <w:tcW w:w="860" w:type="pct"/>
            <w:shd w:val="clear" w:color="auto" w:fill="auto"/>
            <w:noWrap/>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S-adenosyl-L-methionine cycle</w:t>
            </w:r>
          </w:p>
        </w:tc>
        <w:tc>
          <w:tcPr>
            <w:tcW w:w="306" w:type="pct"/>
            <w:shd w:val="clear" w:color="auto" w:fill="auto"/>
            <w:noWrap/>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1</w:t>
            </w:r>
          </w:p>
          <w:p w:rsidR="00CD5E6C" w:rsidRPr="000C0315" w:rsidRDefault="00CD5E6C" w:rsidP="009012B1">
            <w:pPr>
              <w:spacing w:line="240" w:lineRule="auto"/>
              <w:jc w:val="left"/>
              <w:rPr>
                <w:rFonts w:eastAsia="Times New Roman"/>
                <w:color w:val="000000"/>
                <w:sz w:val="19"/>
                <w:szCs w:val="19"/>
              </w:rPr>
            </w:pPr>
          </w:p>
        </w:tc>
        <w:tc>
          <w:tcPr>
            <w:tcW w:w="327" w:type="pct"/>
            <w:gridSpan w:val="2"/>
            <w:shd w:val="clear" w:color="auto" w:fill="auto"/>
            <w:noWrap/>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6</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0.37</w:t>
            </w:r>
          </w:p>
          <w:p w:rsidR="00CD5E6C" w:rsidRPr="000C0315" w:rsidRDefault="00CD5E6C" w:rsidP="009012B1">
            <w:pPr>
              <w:spacing w:line="240" w:lineRule="auto"/>
              <w:jc w:val="left"/>
              <w:rPr>
                <w:rFonts w:eastAsia="Times New Roman"/>
                <w:color w:val="000000"/>
                <w:sz w:val="19"/>
                <w:szCs w:val="19"/>
              </w:rPr>
            </w:pPr>
          </w:p>
        </w:tc>
        <w:tc>
          <w:tcPr>
            <w:tcW w:w="319" w:type="pct"/>
            <w:shd w:val="clear" w:color="auto" w:fill="auto"/>
            <w:noWrap/>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0.47</w:t>
            </w:r>
          </w:p>
          <w:p w:rsidR="00CD5E6C" w:rsidRPr="000C0315" w:rsidRDefault="00CD5E6C" w:rsidP="009012B1">
            <w:pPr>
              <w:spacing w:line="240" w:lineRule="auto"/>
              <w:jc w:val="left"/>
              <w:rPr>
                <w:rFonts w:eastAsia="Times New Roman"/>
                <w:color w:val="000000"/>
                <w:sz w:val="19"/>
                <w:szCs w:val="19"/>
              </w:rPr>
            </w:pPr>
          </w:p>
        </w:tc>
        <w:tc>
          <w:tcPr>
            <w:tcW w:w="911" w:type="pct"/>
            <w:shd w:val="clear" w:color="auto" w:fill="auto"/>
            <w:noWrap/>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Q2QLY5</w:t>
            </w:r>
          </w:p>
          <w:p w:rsidR="00CD5E6C" w:rsidRPr="000C0315" w:rsidRDefault="00CD5E6C" w:rsidP="009012B1">
            <w:pPr>
              <w:spacing w:line="240" w:lineRule="auto"/>
              <w:jc w:val="left"/>
              <w:rPr>
                <w:rFonts w:eastAsia="Times New Roman"/>
                <w:color w:val="000000"/>
                <w:sz w:val="19"/>
                <w:szCs w:val="19"/>
              </w:rPr>
            </w:pPr>
          </w:p>
        </w:tc>
        <w:tc>
          <w:tcPr>
            <w:tcW w:w="1958" w:type="pct"/>
            <w:shd w:val="clear" w:color="auto" w:fill="auto"/>
            <w:noWrap/>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XLOC_001333, XLOC_001791, XLOC_000186, XLOC_001350, XLOC_001633</w:t>
            </w:r>
          </w:p>
        </w:tc>
      </w:tr>
      <w:tr w:rsidR="00CD5E6C" w:rsidRPr="000C0315" w:rsidTr="009012B1">
        <w:trPr>
          <w:trHeight w:val="423"/>
        </w:trPr>
        <w:tc>
          <w:tcPr>
            <w:tcW w:w="860"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Amino acid metabolism</w:t>
            </w:r>
          </w:p>
          <w:p w:rsidR="00CD5E6C" w:rsidRPr="000C0315" w:rsidRDefault="00CD5E6C" w:rsidP="009012B1">
            <w:pPr>
              <w:spacing w:line="240" w:lineRule="auto"/>
              <w:jc w:val="left"/>
              <w:rPr>
                <w:rFonts w:eastAsia="Times New Roman"/>
                <w:color w:val="000000"/>
                <w:sz w:val="19"/>
                <w:szCs w:val="19"/>
              </w:rPr>
            </w:pPr>
          </w:p>
        </w:tc>
        <w:tc>
          <w:tcPr>
            <w:tcW w:w="306"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4</w:t>
            </w:r>
          </w:p>
          <w:p w:rsidR="00CD5E6C" w:rsidRPr="000C0315" w:rsidRDefault="00CD5E6C" w:rsidP="009012B1">
            <w:pPr>
              <w:spacing w:line="240" w:lineRule="auto"/>
              <w:jc w:val="left"/>
              <w:rPr>
                <w:rFonts w:eastAsia="Times New Roman"/>
                <w:color w:val="000000"/>
                <w:sz w:val="19"/>
                <w:szCs w:val="19"/>
              </w:rPr>
            </w:pPr>
          </w:p>
        </w:tc>
        <w:tc>
          <w:tcPr>
            <w:tcW w:w="327" w:type="pct"/>
            <w:gridSpan w:val="2"/>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211</w:t>
            </w:r>
          </w:p>
          <w:p w:rsidR="00CD5E6C" w:rsidRPr="000C0315" w:rsidRDefault="00CD5E6C" w:rsidP="009012B1">
            <w:pPr>
              <w:spacing w:line="240" w:lineRule="auto"/>
              <w:jc w:val="left"/>
              <w:rPr>
                <w:rFonts w:eastAsia="Times New Roman"/>
                <w:color w:val="000000"/>
                <w:sz w:val="19"/>
                <w:szCs w:val="19"/>
              </w:rPr>
            </w:pPr>
          </w:p>
        </w:tc>
        <w:tc>
          <w:tcPr>
            <w:tcW w:w="319"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0.99</w:t>
            </w:r>
          </w:p>
          <w:p w:rsidR="00CD5E6C" w:rsidRPr="000C0315" w:rsidRDefault="00CD5E6C" w:rsidP="009012B1">
            <w:pPr>
              <w:spacing w:line="240" w:lineRule="auto"/>
              <w:jc w:val="left"/>
              <w:rPr>
                <w:rFonts w:eastAsia="Times New Roman"/>
                <w:color w:val="000000"/>
                <w:sz w:val="19"/>
                <w:szCs w:val="19"/>
              </w:rPr>
            </w:pPr>
          </w:p>
        </w:tc>
        <w:tc>
          <w:tcPr>
            <w:tcW w:w="319"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0.99</w:t>
            </w:r>
          </w:p>
          <w:p w:rsidR="00CD5E6C" w:rsidRPr="000C0315" w:rsidRDefault="00CD5E6C" w:rsidP="009012B1">
            <w:pPr>
              <w:spacing w:line="240" w:lineRule="auto"/>
              <w:jc w:val="left"/>
              <w:rPr>
                <w:rFonts w:eastAsia="Times New Roman"/>
                <w:color w:val="000000"/>
                <w:sz w:val="19"/>
                <w:szCs w:val="19"/>
              </w:rPr>
            </w:pPr>
          </w:p>
        </w:tc>
        <w:tc>
          <w:tcPr>
            <w:tcW w:w="911" w:type="pct"/>
            <w:tcBorders>
              <w:bottom w:val="single" w:sz="4" w:space="0" w:color="auto"/>
            </w:tcBorders>
            <w:shd w:val="clear" w:color="auto" w:fill="auto"/>
            <w:noWrap/>
            <w:hideMark/>
          </w:tcPr>
          <w:p w:rsidR="00CD5E6C" w:rsidRPr="000C0315" w:rsidRDefault="00CD5E6C" w:rsidP="009012B1">
            <w:pPr>
              <w:spacing w:line="240" w:lineRule="auto"/>
              <w:jc w:val="left"/>
              <w:rPr>
                <w:rFonts w:eastAsia="Times New Roman"/>
                <w:color w:val="000000"/>
                <w:sz w:val="19"/>
                <w:szCs w:val="19"/>
              </w:rPr>
            </w:pPr>
            <w:r w:rsidRPr="000C0315">
              <w:rPr>
                <w:rFonts w:eastAsia="Times New Roman"/>
                <w:color w:val="000000"/>
                <w:sz w:val="19"/>
                <w:szCs w:val="19"/>
              </w:rPr>
              <w:t>Q2QLY5; Q0JKD0; Q0DG35; P37833</w:t>
            </w:r>
          </w:p>
        </w:tc>
        <w:tc>
          <w:tcPr>
            <w:tcW w:w="1958" w:type="pct"/>
            <w:tcBorders>
              <w:bottom w:val="single" w:sz="4" w:space="0" w:color="auto"/>
            </w:tcBorders>
            <w:shd w:val="clear" w:color="auto" w:fill="auto"/>
            <w:noWrap/>
            <w:hideMark/>
          </w:tcPr>
          <w:p w:rsidR="00CD5E6C" w:rsidRPr="000C0315" w:rsidRDefault="00CD5E6C" w:rsidP="009012B1">
            <w:pPr>
              <w:spacing w:line="240" w:lineRule="auto"/>
              <w:rPr>
                <w:rFonts w:eastAsia="Times New Roman"/>
                <w:color w:val="000000"/>
                <w:sz w:val="19"/>
                <w:szCs w:val="19"/>
              </w:rPr>
            </w:pPr>
            <w:r w:rsidRPr="000C0315">
              <w:rPr>
                <w:rFonts w:eastAsia="Times New Roman"/>
                <w:color w:val="000000"/>
                <w:sz w:val="19"/>
                <w:szCs w:val="19"/>
              </w:rPr>
              <w:t>XLOC_001611, XLOC_000822, XLOC_001825, XLOC_002003, XLOC_000364</w:t>
            </w:r>
          </w:p>
          <w:p w:rsidR="00CD5E6C" w:rsidRPr="000C0315" w:rsidRDefault="00CD5E6C" w:rsidP="009012B1">
            <w:pPr>
              <w:spacing w:line="240" w:lineRule="auto"/>
              <w:rPr>
                <w:rFonts w:eastAsia="Times New Roman"/>
                <w:color w:val="000000"/>
                <w:sz w:val="4"/>
                <w:szCs w:val="4"/>
              </w:rPr>
            </w:pPr>
          </w:p>
        </w:tc>
      </w:tr>
    </w:tbl>
    <w:p w:rsidR="00232895" w:rsidRPr="0099565B" w:rsidRDefault="00232895" w:rsidP="00232895">
      <w:pPr>
        <w:rPr>
          <w:sz w:val="20"/>
          <w:szCs w:val="20"/>
        </w:rPr>
      </w:pPr>
      <w:proofErr w:type="gramStart"/>
      <w:r w:rsidRPr="0071132A">
        <w:rPr>
          <w:sz w:val="20"/>
          <w:szCs w:val="20"/>
        </w:rPr>
        <w:t>p-value</w:t>
      </w:r>
      <w:proofErr w:type="gramEnd"/>
      <w:r w:rsidRPr="0071132A">
        <w:rPr>
          <w:sz w:val="20"/>
          <w:szCs w:val="20"/>
        </w:rPr>
        <w:t xml:space="preserve"> = probability that the overlap between the query and the pathway has occurred by chance; FDR = probability corrected for multiple comparisons.</w:t>
      </w:r>
    </w:p>
    <w:p w:rsidR="00232895" w:rsidRPr="002D071E" w:rsidRDefault="00232895" w:rsidP="00F3193D">
      <w:pPr>
        <w:autoSpaceDE w:val="0"/>
        <w:autoSpaceDN w:val="0"/>
        <w:adjustRightInd w:val="0"/>
      </w:pPr>
    </w:p>
    <w:sectPr w:rsidR="00232895" w:rsidRPr="002D071E" w:rsidSect="0055095F">
      <w:pgSz w:w="16838" w:h="11906" w:orient="landscape"/>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E5" w:rsidRDefault="003413E5">
      <w:pPr>
        <w:spacing w:line="240" w:lineRule="auto"/>
      </w:pPr>
      <w:r>
        <w:separator/>
      </w:r>
    </w:p>
  </w:endnote>
  <w:endnote w:type="continuationSeparator" w:id="0">
    <w:p w:rsidR="003413E5" w:rsidRDefault="00341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TSY">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06468"/>
      <w:docPartObj>
        <w:docPartGallery w:val="Page Numbers (Bottom of Page)"/>
        <w:docPartUnique/>
      </w:docPartObj>
    </w:sdtPr>
    <w:sdtEndPr>
      <w:rPr>
        <w:noProof/>
      </w:rPr>
    </w:sdtEndPr>
    <w:sdtContent>
      <w:p w:rsidR="000138DC" w:rsidRDefault="000138DC">
        <w:pPr>
          <w:pStyle w:val="Footer"/>
          <w:jc w:val="right"/>
        </w:pPr>
        <w:r>
          <w:fldChar w:fldCharType="begin"/>
        </w:r>
        <w:r>
          <w:instrText xml:space="preserve"> PAGE   \* MERGEFORMAT </w:instrText>
        </w:r>
        <w:r>
          <w:fldChar w:fldCharType="separate"/>
        </w:r>
        <w:r w:rsidR="00FB26F9">
          <w:rPr>
            <w:noProof/>
          </w:rPr>
          <w:t>37</w:t>
        </w:r>
        <w:r>
          <w:rPr>
            <w:noProof/>
          </w:rPr>
          <w:fldChar w:fldCharType="end"/>
        </w:r>
      </w:p>
    </w:sdtContent>
  </w:sdt>
  <w:p w:rsidR="000138DC" w:rsidRDefault="00013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E5" w:rsidRDefault="003413E5">
      <w:pPr>
        <w:spacing w:line="240" w:lineRule="auto"/>
      </w:pPr>
      <w:r>
        <w:separator/>
      </w:r>
    </w:p>
  </w:footnote>
  <w:footnote w:type="continuationSeparator" w:id="0">
    <w:p w:rsidR="003413E5" w:rsidRDefault="00341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DC" w:rsidRDefault="0001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87B"/>
    <w:multiLevelType w:val="multilevel"/>
    <w:tmpl w:val="6A16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05CB6"/>
    <w:multiLevelType w:val="hybridMultilevel"/>
    <w:tmpl w:val="E6C0F728"/>
    <w:lvl w:ilvl="0" w:tplc="A71C63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FA74E2"/>
    <w:multiLevelType w:val="multilevel"/>
    <w:tmpl w:val="C82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C5347"/>
    <w:multiLevelType w:val="hybridMultilevel"/>
    <w:tmpl w:val="2A8CC1F0"/>
    <w:lvl w:ilvl="0" w:tplc="DE620D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62111F"/>
    <w:multiLevelType w:val="hybridMultilevel"/>
    <w:tmpl w:val="FF564354"/>
    <w:lvl w:ilvl="0" w:tplc="74EC07F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83C83"/>
    <w:multiLevelType w:val="hybridMultilevel"/>
    <w:tmpl w:val="6568A6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647F47"/>
    <w:multiLevelType w:val="hybridMultilevel"/>
    <w:tmpl w:val="3B0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432C0"/>
    <w:multiLevelType w:val="hybridMultilevel"/>
    <w:tmpl w:val="F44A83D2"/>
    <w:lvl w:ilvl="0" w:tplc="C7FC83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9A7FB0"/>
    <w:multiLevelType w:val="hybridMultilevel"/>
    <w:tmpl w:val="806AD56C"/>
    <w:lvl w:ilvl="0" w:tplc="46D26A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240C15"/>
    <w:multiLevelType w:val="multilevel"/>
    <w:tmpl w:val="518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6"/>
  </w:num>
  <w:num w:numId="5">
    <w:abstractNumId w:val="4"/>
  </w:num>
  <w:num w:numId="6">
    <w:abstractNumId w:val="1"/>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57"/>
    <w:rsid w:val="0000091F"/>
    <w:rsid w:val="00002014"/>
    <w:rsid w:val="000101CF"/>
    <w:rsid w:val="00012095"/>
    <w:rsid w:val="000138DC"/>
    <w:rsid w:val="00017674"/>
    <w:rsid w:val="00017FBC"/>
    <w:rsid w:val="00021F91"/>
    <w:rsid w:val="00022CB5"/>
    <w:rsid w:val="00023108"/>
    <w:rsid w:val="00023611"/>
    <w:rsid w:val="0002492D"/>
    <w:rsid w:val="00033F3C"/>
    <w:rsid w:val="00034DA0"/>
    <w:rsid w:val="0003514F"/>
    <w:rsid w:val="00044853"/>
    <w:rsid w:val="00053C86"/>
    <w:rsid w:val="00065304"/>
    <w:rsid w:val="00067FF1"/>
    <w:rsid w:val="00070500"/>
    <w:rsid w:val="00086AD5"/>
    <w:rsid w:val="000908C5"/>
    <w:rsid w:val="0009109C"/>
    <w:rsid w:val="00092753"/>
    <w:rsid w:val="00092A60"/>
    <w:rsid w:val="00096448"/>
    <w:rsid w:val="000A0293"/>
    <w:rsid w:val="000A5AE6"/>
    <w:rsid w:val="000A685D"/>
    <w:rsid w:val="000B56C2"/>
    <w:rsid w:val="000C0315"/>
    <w:rsid w:val="000D1FF6"/>
    <w:rsid w:val="000E7091"/>
    <w:rsid w:val="000F26FB"/>
    <w:rsid w:val="000F339B"/>
    <w:rsid w:val="00101E45"/>
    <w:rsid w:val="00104B8D"/>
    <w:rsid w:val="00105E8E"/>
    <w:rsid w:val="001228C0"/>
    <w:rsid w:val="00123F07"/>
    <w:rsid w:val="00133274"/>
    <w:rsid w:val="001345E0"/>
    <w:rsid w:val="0013688A"/>
    <w:rsid w:val="00145167"/>
    <w:rsid w:val="001507CF"/>
    <w:rsid w:val="00153226"/>
    <w:rsid w:val="001613BA"/>
    <w:rsid w:val="0016377C"/>
    <w:rsid w:val="00166057"/>
    <w:rsid w:val="0018211F"/>
    <w:rsid w:val="00185C49"/>
    <w:rsid w:val="00190B47"/>
    <w:rsid w:val="00193107"/>
    <w:rsid w:val="00195910"/>
    <w:rsid w:val="001A771C"/>
    <w:rsid w:val="001B6C54"/>
    <w:rsid w:val="001B6F4A"/>
    <w:rsid w:val="001F1E8B"/>
    <w:rsid w:val="001F6241"/>
    <w:rsid w:val="00203521"/>
    <w:rsid w:val="00204FCA"/>
    <w:rsid w:val="00205E1A"/>
    <w:rsid w:val="00215842"/>
    <w:rsid w:val="00215CD8"/>
    <w:rsid w:val="0021695D"/>
    <w:rsid w:val="00232895"/>
    <w:rsid w:val="0023317F"/>
    <w:rsid w:val="00255A91"/>
    <w:rsid w:val="00270B35"/>
    <w:rsid w:val="002718E4"/>
    <w:rsid w:val="00282723"/>
    <w:rsid w:val="00287B9C"/>
    <w:rsid w:val="002A099F"/>
    <w:rsid w:val="002D071E"/>
    <w:rsid w:val="002E214A"/>
    <w:rsid w:val="002E7B0F"/>
    <w:rsid w:val="002F5487"/>
    <w:rsid w:val="002F65EF"/>
    <w:rsid w:val="002F7689"/>
    <w:rsid w:val="00306308"/>
    <w:rsid w:val="00315A9C"/>
    <w:rsid w:val="00336656"/>
    <w:rsid w:val="003413E5"/>
    <w:rsid w:val="00353EA1"/>
    <w:rsid w:val="0037408A"/>
    <w:rsid w:val="00374E9C"/>
    <w:rsid w:val="00395F99"/>
    <w:rsid w:val="003A129C"/>
    <w:rsid w:val="003A504B"/>
    <w:rsid w:val="003A729B"/>
    <w:rsid w:val="003B27B7"/>
    <w:rsid w:val="003C0A26"/>
    <w:rsid w:val="003D4790"/>
    <w:rsid w:val="003F78E3"/>
    <w:rsid w:val="00403B09"/>
    <w:rsid w:val="004115D5"/>
    <w:rsid w:val="00412A52"/>
    <w:rsid w:val="004148D4"/>
    <w:rsid w:val="00417458"/>
    <w:rsid w:val="004210F9"/>
    <w:rsid w:val="00421D5C"/>
    <w:rsid w:val="0042308E"/>
    <w:rsid w:val="004232C2"/>
    <w:rsid w:val="00423761"/>
    <w:rsid w:val="00423C28"/>
    <w:rsid w:val="00425C16"/>
    <w:rsid w:val="0043383B"/>
    <w:rsid w:val="0044587E"/>
    <w:rsid w:val="00447EAF"/>
    <w:rsid w:val="00451503"/>
    <w:rsid w:val="004527C2"/>
    <w:rsid w:val="0045648B"/>
    <w:rsid w:val="00464A52"/>
    <w:rsid w:val="00470F35"/>
    <w:rsid w:val="00471E7F"/>
    <w:rsid w:val="0047414E"/>
    <w:rsid w:val="0047652E"/>
    <w:rsid w:val="004844BD"/>
    <w:rsid w:val="004B202B"/>
    <w:rsid w:val="004B204A"/>
    <w:rsid w:val="004C0785"/>
    <w:rsid w:val="004C3B06"/>
    <w:rsid w:val="004E08AC"/>
    <w:rsid w:val="004E370E"/>
    <w:rsid w:val="004F390F"/>
    <w:rsid w:val="00502405"/>
    <w:rsid w:val="00504ECB"/>
    <w:rsid w:val="00515AB4"/>
    <w:rsid w:val="00522B23"/>
    <w:rsid w:val="00525A5E"/>
    <w:rsid w:val="005263F9"/>
    <w:rsid w:val="005325A1"/>
    <w:rsid w:val="00540062"/>
    <w:rsid w:val="0054142C"/>
    <w:rsid w:val="00547E46"/>
    <w:rsid w:val="0055095F"/>
    <w:rsid w:val="00551628"/>
    <w:rsid w:val="005530C8"/>
    <w:rsid w:val="00564B71"/>
    <w:rsid w:val="005857E0"/>
    <w:rsid w:val="00586A3C"/>
    <w:rsid w:val="005A7AC7"/>
    <w:rsid w:val="005B017D"/>
    <w:rsid w:val="005B52CD"/>
    <w:rsid w:val="005C0896"/>
    <w:rsid w:val="005F31FE"/>
    <w:rsid w:val="005F565F"/>
    <w:rsid w:val="005F67CB"/>
    <w:rsid w:val="00627B81"/>
    <w:rsid w:val="00645E06"/>
    <w:rsid w:val="00647F9D"/>
    <w:rsid w:val="00651F93"/>
    <w:rsid w:val="00656341"/>
    <w:rsid w:val="00660C83"/>
    <w:rsid w:val="00663857"/>
    <w:rsid w:val="006651CA"/>
    <w:rsid w:val="00665FB1"/>
    <w:rsid w:val="00670B96"/>
    <w:rsid w:val="006720F1"/>
    <w:rsid w:val="0068037F"/>
    <w:rsid w:val="00681D05"/>
    <w:rsid w:val="0068662E"/>
    <w:rsid w:val="006947D5"/>
    <w:rsid w:val="006B367A"/>
    <w:rsid w:val="006B7A98"/>
    <w:rsid w:val="006C5DC3"/>
    <w:rsid w:val="006D38EC"/>
    <w:rsid w:val="006E1CF0"/>
    <w:rsid w:val="006F4ADB"/>
    <w:rsid w:val="006F790E"/>
    <w:rsid w:val="007005FA"/>
    <w:rsid w:val="0071132A"/>
    <w:rsid w:val="00712058"/>
    <w:rsid w:val="00713EAA"/>
    <w:rsid w:val="00717898"/>
    <w:rsid w:val="007234DD"/>
    <w:rsid w:val="00723906"/>
    <w:rsid w:val="00742BF4"/>
    <w:rsid w:val="00743850"/>
    <w:rsid w:val="007447E9"/>
    <w:rsid w:val="0075337E"/>
    <w:rsid w:val="00754B9C"/>
    <w:rsid w:val="007626BB"/>
    <w:rsid w:val="007628AB"/>
    <w:rsid w:val="00772177"/>
    <w:rsid w:val="007915DD"/>
    <w:rsid w:val="0079487E"/>
    <w:rsid w:val="00796E42"/>
    <w:rsid w:val="007A4AE7"/>
    <w:rsid w:val="007A6096"/>
    <w:rsid w:val="007B204C"/>
    <w:rsid w:val="007C174A"/>
    <w:rsid w:val="007D1224"/>
    <w:rsid w:val="007D1623"/>
    <w:rsid w:val="007E4E41"/>
    <w:rsid w:val="007E7D71"/>
    <w:rsid w:val="008022B3"/>
    <w:rsid w:val="008063C5"/>
    <w:rsid w:val="008069A6"/>
    <w:rsid w:val="00820024"/>
    <w:rsid w:val="0082053B"/>
    <w:rsid w:val="00821693"/>
    <w:rsid w:val="00821E81"/>
    <w:rsid w:val="0082465C"/>
    <w:rsid w:val="00826768"/>
    <w:rsid w:val="0084588E"/>
    <w:rsid w:val="008614CC"/>
    <w:rsid w:val="00865C45"/>
    <w:rsid w:val="008766E8"/>
    <w:rsid w:val="008775FF"/>
    <w:rsid w:val="00877F6C"/>
    <w:rsid w:val="00884EB8"/>
    <w:rsid w:val="00887832"/>
    <w:rsid w:val="0089123F"/>
    <w:rsid w:val="00892207"/>
    <w:rsid w:val="00892E9E"/>
    <w:rsid w:val="00893DC0"/>
    <w:rsid w:val="008A2709"/>
    <w:rsid w:val="008A3B50"/>
    <w:rsid w:val="008A4D1D"/>
    <w:rsid w:val="008A51EA"/>
    <w:rsid w:val="008A612D"/>
    <w:rsid w:val="008A75F4"/>
    <w:rsid w:val="008C21C3"/>
    <w:rsid w:val="008C2D86"/>
    <w:rsid w:val="008C3BF9"/>
    <w:rsid w:val="008C3C5B"/>
    <w:rsid w:val="008C441C"/>
    <w:rsid w:val="008C6B9B"/>
    <w:rsid w:val="008D05F6"/>
    <w:rsid w:val="008D3110"/>
    <w:rsid w:val="008E6755"/>
    <w:rsid w:val="008E74C5"/>
    <w:rsid w:val="008F0FCA"/>
    <w:rsid w:val="008F1AA5"/>
    <w:rsid w:val="008F3D4E"/>
    <w:rsid w:val="009012B1"/>
    <w:rsid w:val="009106AE"/>
    <w:rsid w:val="009159BE"/>
    <w:rsid w:val="009171CA"/>
    <w:rsid w:val="00923103"/>
    <w:rsid w:val="00923947"/>
    <w:rsid w:val="00933F42"/>
    <w:rsid w:val="00936845"/>
    <w:rsid w:val="00941D51"/>
    <w:rsid w:val="009562D8"/>
    <w:rsid w:val="009639D6"/>
    <w:rsid w:val="00964DF7"/>
    <w:rsid w:val="00964F74"/>
    <w:rsid w:val="00972D52"/>
    <w:rsid w:val="00981A7E"/>
    <w:rsid w:val="00982A66"/>
    <w:rsid w:val="009878A2"/>
    <w:rsid w:val="00990A46"/>
    <w:rsid w:val="00990C94"/>
    <w:rsid w:val="0099565B"/>
    <w:rsid w:val="0099666D"/>
    <w:rsid w:val="009A06D0"/>
    <w:rsid w:val="009A63EA"/>
    <w:rsid w:val="009A7394"/>
    <w:rsid w:val="009B7261"/>
    <w:rsid w:val="009C4544"/>
    <w:rsid w:val="009C4CC2"/>
    <w:rsid w:val="009D03A0"/>
    <w:rsid w:val="009D4233"/>
    <w:rsid w:val="009D7830"/>
    <w:rsid w:val="009E7F71"/>
    <w:rsid w:val="009F4B47"/>
    <w:rsid w:val="009F6259"/>
    <w:rsid w:val="00A0277C"/>
    <w:rsid w:val="00A02D40"/>
    <w:rsid w:val="00A04D89"/>
    <w:rsid w:val="00A137EC"/>
    <w:rsid w:val="00A23C1C"/>
    <w:rsid w:val="00A27FC1"/>
    <w:rsid w:val="00A35071"/>
    <w:rsid w:val="00A40C93"/>
    <w:rsid w:val="00A42BEC"/>
    <w:rsid w:val="00A43482"/>
    <w:rsid w:val="00A44962"/>
    <w:rsid w:val="00A44DD7"/>
    <w:rsid w:val="00A5162B"/>
    <w:rsid w:val="00A51A91"/>
    <w:rsid w:val="00A54D8E"/>
    <w:rsid w:val="00A73DD5"/>
    <w:rsid w:val="00A76AED"/>
    <w:rsid w:val="00A825C2"/>
    <w:rsid w:val="00A829EE"/>
    <w:rsid w:val="00A93FBC"/>
    <w:rsid w:val="00A93FFC"/>
    <w:rsid w:val="00A94E14"/>
    <w:rsid w:val="00AA00AE"/>
    <w:rsid w:val="00AA1F89"/>
    <w:rsid w:val="00AA2209"/>
    <w:rsid w:val="00AA37CD"/>
    <w:rsid w:val="00AA7AE3"/>
    <w:rsid w:val="00AB0252"/>
    <w:rsid w:val="00AB5D5B"/>
    <w:rsid w:val="00AB6975"/>
    <w:rsid w:val="00AC2461"/>
    <w:rsid w:val="00AC2D01"/>
    <w:rsid w:val="00AD0E26"/>
    <w:rsid w:val="00AE730E"/>
    <w:rsid w:val="00AE7341"/>
    <w:rsid w:val="00AE7379"/>
    <w:rsid w:val="00AF2215"/>
    <w:rsid w:val="00B045C0"/>
    <w:rsid w:val="00B05096"/>
    <w:rsid w:val="00B101F3"/>
    <w:rsid w:val="00B20743"/>
    <w:rsid w:val="00B2468C"/>
    <w:rsid w:val="00B2484E"/>
    <w:rsid w:val="00B25D02"/>
    <w:rsid w:val="00B266C6"/>
    <w:rsid w:val="00B26EF5"/>
    <w:rsid w:val="00B30D3E"/>
    <w:rsid w:val="00B42AAA"/>
    <w:rsid w:val="00B5040C"/>
    <w:rsid w:val="00B52BDC"/>
    <w:rsid w:val="00B53446"/>
    <w:rsid w:val="00B54187"/>
    <w:rsid w:val="00B60B22"/>
    <w:rsid w:val="00B737A4"/>
    <w:rsid w:val="00B84D8E"/>
    <w:rsid w:val="00B85D48"/>
    <w:rsid w:val="00B90E30"/>
    <w:rsid w:val="00B92811"/>
    <w:rsid w:val="00B958EE"/>
    <w:rsid w:val="00BA2476"/>
    <w:rsid w:val="00BB738E"/>
    <w:rsid w:val="00BC0B1A"/>
    <w:rsid w:val="00BC270C"/>
    <w:rsid w:val="00BD7315"/>
    <w:rsid w:val="00BE4B63"/>
    <w:rsid w:val="00BF2AA2"/>
    <w:rsid w:val="00BF4831"/>
    <w:rsid w:val="00C02ED7"/>
    <w:rsid w:val="00C034E5"/>
    <w:rsid w:val="00C1097C"/>
    <w:rsid w:val="00C11F2D"/>
    <w:rsid w:val="00C15458"/>
    <w:rsid w:val="00C15B5A"/>
    <w:rsid w:val="00C21276"/>
    <w:rsid w:val="00C3230E"/>
    <w:rsid w:val="00C34843"/>
    <w:rsid w:val="00C348AF"/>
    <w:rsid w:val="00C35FC5"/>
    <w:rsid w:val="00C456B5"/>
    <w:rsid w:val="00C46463"/>
    <w:rsid w:val="00C47DFA"/>
    <w:rsid w:val="00C509FC"/>
    <w:rsid w:val="00C50B15"/>
    <w:rsid w:val="00C52F96"/>
    <w:rsid w:val="00C635A5"/>
    <w:rsid w:val="00C7391D"/>
    <w:rsid w:val="00C82BCF"/>
    <w:rsid w:val="00C94A48"/>
    <w:rsid w:val="00CA14AF"/>
    <w:rsid w:val="00CA665B"/>
    <w:rsid w:val="00CA70F9"/>
    <w:rsid w:val="00CB2944"/>
    <w:rsid w:val="00CB4856"/>
    <w:rsid w:val="00CD5E6C"/>
    <w:rsid w:val="00CD6AEE"/>
    <w:rsid w:val="00CE1637"/>
    <w:rsid w:val="00CE2971"/>
    <w:rsid w:val="00CE50D8"/>
    <w:rsid w:val="00CE7482"/>
    <w:rsid w:val="00CF33DD"/>
    <w:rsid w:val="00CF39EE"/>
    <w:rsid w:val="00D01E5A"/>
    <w:rsid w:val="00D10766"/>
    <w:rsid w:val="00D2595E"/>
    <w:rsid w:val="00D310DA"/>
    <w:rsid w:val="00D332D2"/>
    <w:rsid w:val="00D453A5"/>
    <w:rsid w:val="00D45403"/>
    <w:rsid w:val="00D45E65"/>
    <w:rsid w:val="00D462FE"/>
    <w:rsid w:val="00D47526"/>
    <w:rsid w:val="00D516FF"/>
    <w:rsid w:val="00D6175D"/>
    <w:rsid w:val="00D62172"/>
    <w:rsid w:val="00D66412"/>
    <w:rsid w:val="00D733A7"/>
    <w:rsid w:val="00D735E0"/>
    <w:rsid w:val="00D92FC5"/>
    <w:rsid w:val="00D93504"/>
    <w:rsid w:val="00D9521E"/>
    <w:rsid w:val="00D979F9"/>
    <w:rsid w:val="00DB1EDE"/>
    <w:rsid w:val="00DC3F84"/>
    <w:rsid w:val="00DD7DB5"/>
    <w:rsid w:val="00DE43B3"/>
    <w:rsid w:val="00DE52B8"/>
    <w:rsid w:val="00DF4116"/>
    <w:rsid w:val="00DF471E"/>
    <w:rsid w:val="00E01DD3"/>
    <w:rsid w:val="00E07533"/>
    <w:rsid w:val="00E16B06"/>
    <w:rsid w:val="00E22345"/>
    <w:rsid w:val="00E33CA7"/>
    <w:rsid w:val="00E50BA9"/>
    <w:rsid w:val="00E566D8"/>
    <w:rsid w:val="00E60517"/>
    <w:rsid w:val="00E61C4B"/>
    <w:rsid w:val="00E621AE"/>
    <w:rsid w:val="00E73003"/>
    <w:rsid w:val="00E73FB8"/>
    <w:rsid w:val="00E76C77"/>
    <w:rsid w:val="00E810B6"/>
    <w:rsid w:val="00E904A2"/>
    <w:rsid w:val="00EA315F"/>
    <w:rsid w:val="00EB4D5E"/>
    <w:rsid w:val="00EC61F6"/>
    <w:rsid w:val="00EC6204"/>
    <w:rsid w:val="00EC7F44"/>
    <w:rsid w:val="00F044B7"/>
    <w:rsid w:val="00F1406D"/>
    <w:rsid w:val="00F2310E"/>
    <w:rsid w:val="00F24C1D"/>
    <w:rsid w:val="00F3193D"/>
    <w:rsid w:val="00F42E9E"/>
    <w:rsid w:val="00F46FC7"/>
    <w:rsid w:val="00F52165"/>
    <w:rsid w:val="00F574CD"/>
    <w:rsid w:val="00F77E0D"/>
    <w:rsid w:val="00F81500"/>
    <w:rsid w:val="00F8610F"/>
    <w:rsid w:val="00F86172"/>
    <w:rsid w:val="00F9123E"/>
    <w:rsid w:val="00F949D7"/>
    <w:rsid w:val="00F95EA8"/>
    <w:rsid w:val="00F963E8"/>
    <w:rsid w:val="00F96511"/>
    <w:rsid w:val="00FA247C"/>
    <w:rsid w:val="00FA75ED"/>
    <w:rsid w:val="00FB2056"/>
    <w:rsid w:val="00FB26F9"/>
    <w:rsid w:val="00FC27FC"/>
    <w:rsid w:val="00FD178D"/>
    <w:rsid w:val="00FD616C"/>
    <w:rsid w:val="00FE4061"/>
    <w:rsid w:val="00FE678C"/>
    <w:rsid w:val="00FE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57"/>
    <w:pPr>
      <w:spacing w:after="0" w:line="360" w:lineRule="auto"/>
      <w:jc w:val="both"/>
    </w:pPr>
    <w:rPr>
      <w:rFonts w:ascii="Times New Roman" w:hAnsi="Times New Roman" w:cs="Times New Roman"/>
      <w:sz w:val="24"/>
      <w:szCs w:val="24"/>
      <w:lang w:val="en-US"/>
    </w:rPr>
  </w:style>
  <w:style w:type="paragraph" w:styleId="Heading1">
    <w:name w:val="heading 1"/>
    <w:basedOn w:val="Normal"/>
    <w:link w:val="Heading1Char"/>
    <w:uiPriority w:val="9"/>
    <w:qFormat/>
    <w:rsid w:val="00663857"/>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663857"/>
    <w:pPr>
      <w:keepNext/>
      <w:keepLines/>
      <w:spacing w:before="200" w:line="259"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85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8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38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3857"/>
    <w:rPr>
      <w:rFonts w:asciiTheme="majorHAnsi" w:eastAsiaTheme="majorEastAsia" w:hAnsiTheme="majorHAnsi" w:cstheme="majorBidi"/>
      <w:b/>
      <w:bCs/>
      <w:color w:val="4F81BD" w:themeColor="accent1"/>
      <w:lang w:eastAsia="en-GB"/>
    </w:rPr>
  </w:style>
  <w:style w:type="paragraph" w:customStyle="1" w:styleId="Standard">
    <w:name w:val="Standard"/>
    <w:rsid w:val="00663857"/>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styleId="Caption">
    <w:name w:val="caption"/>
    <w:basedOn w:val="Normal"/>
    <w:next w:val="Normal"/>
    <w:uiPriority w:val="35"/>
    <w:unhideWhenUsed/>
    <w:qFormat/>
    <w:rsid w:val="0066385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63857"/>
    <w:rPr>
      <w:rFonts w:ascii="Tahoma" w:hAnsi="Tahoma" w:cs="Tahoma"/>
      <w:sz w:val="16"/>
      <w:szCs w:val="16"/>
    </w:rPr>
  </w:style>
  <w:style w:type="character" w:customStyle="1" w:styleId="BalloonTextChar">
    <w:name w:val="Balloon Text Char"/>
    <w:basedOn w:val="DefaultParagraphFont"/>
    <w:link w:val="BalloonText"/>
    <w:uiPriority w:val="99"/>
    <w:semiHidden/>
    <w:rsid w:val="00663857"/>
    <w:rPr>
      <w:rFonts w:ascii="Tahoma" w:hAnsi="Tahoma" w:cs="Tahoma"/>
      <w:sz w:val="16"/>
      <w:szCs w:val="16"/>
    </w:rPr>
  </w:style>
  <w:style w:type="paragraph" w:styleId="Header">
    <w:name w:val="header"/>
    <w:basedOn w:val="Normal"/>
    <w:link w:val="HeaderChar"/>
    <w:uiPriority w:val="99"/>
    <w:unhideWhenUsed/>
    <w:rsid w:val="00663857"/>
    <w:pPr>
      <w:tabs>
        <w:tab w:val="center" w:pos="4513"/>
        <w:tab w:val="right" w:pos="9026"/>
      </w:tabs>
    </w:pPr>
  </w:style>
  <w:style w:type="character" w:customStyle="1" w:styleId="HeaderChar">
    <w:name w:val="Header Char"/>
    <w:basedOn w:val="DefaultParagraphFont"/>
    <w:link w:val="Header"/>
    <w:uiPriority w:val="99"/>
    <w:rsid w:val="00663857"/>
    <w:rPr>
      <w:rFonts w:ascii="Times New Roman" w:hAnsi="Times New Roman" w:cs="Times New Roman"/>
      <w:sz w:val="24"/>
      <w:szCs w:val="24"/>
    </w:rPr>
  </w:style>
  <w:style w:type="paragraph" w:styleId="Footer">
    <w:name w:val="footer"/>
    <w:basedOn w:val="Normal"/>
    <w:link w:val="FooterChar"/>
    <w:uiPriority w:val="99"/>
    <w:unhideWhenUsed/>
    <w:rsid w:val="00663857"/>
    <w:pPr>
      <w:tabs>
        <w:tab w:val="center" w:pos="4513"/>
        <w:tab w:val="right" w:pos="9026"/>
      </w:tabs>
    </w:pPr>
  </w:style>
  <w:style w:type="character" w:customStyle="1" w:styleId="FooterChar">
    <w:name w:val="Footer Char"/>
    <w:basedOn w:val="DefaultParagraphFont"/>
    <w:link w:val="Footer"/>
    <w:uiPriority w:val="99"/>
    <w:rsid w:val="00663857"/>
    <w:rPr>
      <w:rFonts w:ascii="Times New Roman" w:hAnsi="Times New Roman" w:cs="Times New Roman"/>
      <w:sz w:val="24"/>
      <w:szCs w:val="24"/>
    </w:rPr>
  </w:style>
  <w:style w:type="table" w:styleId="TableGrid">
    <w:name w:val="Table Grid"/>
    <w:basedOn w:val="TableNormal"/>
    <w:uiPriority w:val="39"/>
    <w:rsid w:val="00663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63857"/>
  </w:style>
  <w:style w:type="character" w:styleId="Emphasis">
    <w:name w:val="Emphasis"/>
    <w:basedOn w:val="DefaultParagraphFont"/>
    <w:uiPriority w:val="20"/>
    <w:qFormat/>
    <w:rsid w:val="00663857"/>
    <w:rPr>
      <w:i/>
      <w:iCs/>
    </w:rPr>
  </w:style>
  <w:style w:type="paragraph" w:styleId="ListParagraph">
    <w:name w:val="List Paragraph"/>
    <w:basedOn w:val="Normal"/>
    <w:uiPriority w:val="34"/>
    <w:qFormat/>
    <w:rsid w:val="00663857"/>
    <w:pPr>
      <w:spacing w:after="160" w:line="259" w:lineRule="auto"/>
      <w:ind w:left="720"/>
      <w:contextualSpacing/>
    </w:pPr>
    <w:rPr>
      <w:sz w:val="22"/>
      <w:szCs w:val="22"/>
    </w:rPr>
  </w:style>
  <w:style w:type="character" w:styleId="Hyperlink">
    <w:name w:val="Hyperlink"/>
    <w:basedOn w:val="DefaultParagraphFont"/>
    <w:uiPriority w:val="99"/>
    <w:unhideWhenUsed/>
    <w:rsid w:val="00663857"/>
    <w:rPr>
      <w:color w:val="0000FF"/>
      <w:u w:val="single"/>
    </w:rPr>
  </w:style>
  <w:style w:type="paragraph" w:styleId="NormalWeb">
    <w:name w:val="Normal (Web)"/>
    <w:basedOn w:val="Normal"/>
    <w:uiPriority w:val="99"/>
    <w:semiHidden/>
    <w:unhideWhenUsed/>
    <w:rsid w:val="00663857"/>
    <w:pPr>
      <w:spacing w:before="100" w:beforeAutospacing="1" w:after="100" w:afterAutospacing="1"/>
    </w:pPr>
    <w:rPr>
      <w:rFonts w:eastAsia="Times New Roman"/>
      <w:lang w:eastAsia="en-GB"/>
    </w:rPr>
  </w:style>
  <w:style w:type="paragraph" w:customStyle="1" w:styleId="Default">
    <w:name w:val="Default"/>
    <w:rsid w:val="00663857"/>
    <w:pPr>
      <w:autoSpaceDE w:val="0"/>
      <w:autoSpaceDN w:val="0"/>
      <w:adjustRightInd w:val="0"/>
      <w:spacing w:after="0" w:line="240" w:lineRule="auto"/>
    </w:pPr>
    <w:rPr>
      <w:rFonts w:ascii="Univers 45 Light" w:eastAsiaTheme="minorEastAsia" w:hAnsi="Univers 45 Light" w:cs="Univers 45 Light"/>
      <w:color w:val="000000"/>
      <w:sz w:val="24"/>
      <w:szCs w:val="24"/>
      <w:lang w:eastAsia="en-GB"/>
    </w:rPr>
  </w:style>
  <w:style w:type="character" w:styleId="FollowedHyperlink">
    <w:name w:val="FollowedHyperlink"/>
    <w:basedOn w:val="DefaultParagraphFont"/>
    <w:uiPriority w:val="99"/>
    <w:semiHidden/>
    <w:unhideWhenUsed/>
    <w:rsid w:val="00663857"/>
    <w:rPr>
      <w:color w:val="800080" w:themeColor="followedHyperlink"/>
      <w:u w:val="single"/>
    </w:rPr>
  </w:style>
  <w:style w:type="character" w:styleId="Strong">
    <w:name w:val="Strong"/>
    <w:basedOn w:val="DefaultParagraphFont"/>
    <w:uiPriority w:val="22"/>
    <w:qFormat/>
    <w:rsid w:val="00663857"/>
    <w:rPr>
      <w:b/>
      <w:bCs/>
    </w:rPr>
  </w:style>
  <w:style w:type="character" w:styleId="PlaceholderText">
    <w:name w:val="Placeholder Text"/>
    <w:basedOn w:val="DefaultParagraphFont"/>
    <w:uiPriority w:val="99"/>
    <w:semiHidden/>
    <w:rsid w:val="00663857"/>
    <w:rPr>
      <w:color w:val="808080"/>
    </w:rPr>
  </w:style>
  <w:style w:type="character" w:styleId="CommentReference">
    <w:name w:val="annotation reference"/>
    <w:basedOn w:val="DefaultParagraphFont"/>
    <w:uiPriority w:val="99"/>
    <w:semiHidden/>
    <w:unhideWhenUsed/>
    <w:rsid w:val="00663857"/>
    <w:rPr>
      <w:sz w:val="16"/>
      <w:szCs w:val="16"/>
    </w:rPr>
  </w:style>
  <w:style w:type="character" w:customStyle="1" w:styleId="citationref">
    <w:name w:val="citationref"/>
    <w:basedOn w:val="DefaultParagraphFont"/>
    <w:rsid w:val="00663857"/>
  </w:style>
  <w:style w:type="paragraph" w:customStyle="1" w:styleId="para">
    <w:name w:val="para"/>
    <w:basedOn w:val="Normal"/>
    <w:rsid w:val="00663857"/>
    <w:pPr>
      <w:spacing w:before="100" w:beforeAutospacing="1" w:after="100" w:afterAutospacing="1" w:line="240" w:lineRule="auto"/>
      <w:jc w:val="left"/>
    </w:pPr>
    <w:rPr>
      <w:rFonts w:eastAsia="Times New Roman"/>
      <w:lang w:eastAsia="en-GB"/>
    </w:rPr>
  </w:style>
  <w:style w:type="character" w:styleId="LineNumber">
    <w:name w:val="line number"/>
    <w:basedOn w:val="DefaultParagraphFont"/>
    <w:uiPriority w:val="99"/>
    <w:semiHidden/>
    <w:unhideWhenUsed/>
    <w:rsid w:val="009A06D0"/>
  </w:style>
  <w:style w:type="character" w:customStyle="1" w:styleId="label">
    <w:name w:val="label"/>
    <w:basedOn w:val="DefaultParagraphFont"/>
    <w:rsid w:val="008C441C"/>
  </w:style>
  <w:style w:type="character" w:customStyle="1" w:styleId="value">
    <w:name w:val="value"/>
    <w:basedOn w:val="DefaultParagraphFont"/>
    <w:rsid w:val="008C441C"/>
  </w:style>
  <w:style w:type="character" w:customStyle="1" w:styleId="self-citation-title">
    <w:name w:val="self-citation-title"/>
    <w:basedOn w:val="DefaultParagraphFont"/>
    <w:rsid w:val="00B26EF5"/>
  </w:style>
  <w:style w:type="character" w:customStyle="1" w:styleId="self-citation-journal">
    <w:name w:val="self-citation-journal"/>
    <w:basedOn w:val="DefaultParagraphFont"/>
    <w:rsid w:val="00B26EF5"/>
  </w:style>
  <w:style w:type="character" w:customStyle="1" w:styleId="self-citation-volume">
    <w:name w:val="self-citation-volume"/>
    <w:basedOn w:val="DefaultParagraphFont"/>
    <w:rsid w:val="00B26EF5"/>
  </w:style>
  <w:style w:type="character" w:customStyle="1" w:styleId="self-citation-elocation">
    <w:name w:val="self-citation-elocation"/>
    <w:basedOn w:val="DefaultParagraphFont"/>
    <w:rsid w:val="00B26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57"/>
    <w:pPr>
      <w:spacing w:after="0" w:line="360" w:lineRule="auto"/>
      <w:jc w:val="both"/>
    </w:pPr>
    <w:rPr>
      <w:rFonts w:ascii="Times New Roman" w:hAnsi="Times New Roman" w:cs="Times New Roman"/>
      <w:sz w:val="24"/>
      <w:szCs w:val="24"/>
      <w:lang w:val="en-US"/>
    </w:rPr>
  </w:style>
  <w:style w:type="paragraph" w:styleId="Heading1">
    <w:name w:val="heading 1"/>
    <w:basedOn w:val="Normal"/>
    <w:link w:val="Heading1Char"/>
    <w:uiPriority w:val="9"/>
    <w:qFormat/>
    <w:rsid w:val="00663857"/>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663857"/>
    <w:pPr>
      <w:keepNext/>
      <w:keepLines/>
      <w:spacing w:before="200" w:line="259"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85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8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38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3857"/>
    <w:rPr>
      <w:rFonts w:asciiTheme="majorHAnsi" w:eastAsiaTheme="majorEastAsia" w:hAnsiTheme="majorHAnsi" w:cstheme="majorBidi"/>
      <w:b/>
      <w:bCs/>
      <w:color w:val="4F81BD" w:themeColor="accent1"/>
      <w:lang w:eastAsia="en-GB"/>
    </w:rPr>
  </w:style>
  <w:style w:type="paragraph" w:customStyle="1" w:styleId="Standard">
    <w:name w:val="Standard"/>
    <w:rsid w:val="00663857"/>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styleId="Caption">
    <w:name w:val="caption"/>
    <w:basedOn w:val="Normal"/>
    <w:next w:val="Normal"/>
    <w:uiPriority w:val="35"/>
    <w:unhideWhenUsed/>
    <w:qFormat/>
    <w:rsid w:val="0066385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63857"/>
    <w:rPr>
      <w:rFonts w:ascii="Tahoma" w:hAnsi="Tahoma" w:cs="Tahoma"/>
      <w:sz w:val="16"/>
      <w:szCs w:val="16"/>
    </w:rPr>
  </w:style>
  <w:style w:type="character" w:customStyle="1" w:styleId="BalloonTextChar">
    <w:name w:val="Balloon Text Char"/>
    <w:basedOn w:val="DefaultParagraphFont"/>
    <w:link w:val="BalloonText"/>
    <w:uiPriority w:val="99"/>
    <w:semiHidden/>
    <w:rsid w:val="00663857"/>
    <w:rPr>
      <w:rFonts w:ascii="Tahoma" w:hAnsi="Tahoma" w:cs="Tahoma"/>
      <w:sz w:val="16"/>
      <w:szCs w:val="16"/>
    </w:rPr>
  </w:style>
  <w:style w:type="paragraph" w:styleId="Header">
    <w:name w:val="header"/>
    <w:basedOn w:val="Normal"/>
    <w:link w:val="HeaderChar"/>
    <w:uiPriority w:val="99"/>
    <w:unhideWhenUsed/>
    <w:rsid w:val="00663857"/>
    <w:pPr>
      <w:tabs>
        <w:tab w:val="center" w:pos="4513"/>
        <w:tab w:val="right" w:pos="9026"/>
      </w:tabs>
    </w:pPr>
  </w:style>
  <w:style w:type="character" w:customStyle="1" w:styleId="HeaderChar">
    <w:name w:val="Header Char"/>
    <w:basedOn w:val="DefaultParagraphFont"/>
    <w:link w:val="Header"/>
    <w:uiPriority w:val="99"/>
    <w:rsid w:val="00663857"/>
    <w:rPr>
      <w:rFonts w:ascii="Times New Roman" w:hAnsi="Times New Roman" w:cs="Times New Roman"/>
      <w:sz w:val="24"/>
      <w:szCs w:val="24"/>
    </w:rPr>
  </w:style>
  <w:style w:type="paragraph" w:styleId="Footer">
    <w:name w:val="footer"/>
    <w:basedOn w:val="Normal"/>
    <w:link w:val="FooterChar"/>
    <w:uiPriority w:val="99"/>
    <w:unhideWhenUsed/>
    <w:rsid w:val="00663857"/>
    <w:pPr>
      <w:tabs>
        <w:tab w:val="center" w:pos="4513"/>
        <w:tab w:val="right" w:pos="9026"/>
      </w:tabs>
    </w:pPr>
  </w:style>
  <w:style w:type="character" w:customStyle="1" w:styleId="FooterChar">
    <w:name w:val="Footer Char"/>
    <w:basedOn w:val="DefaultParagraphFont"/>
    <w:link w:val="Footer"/>
    <w:uiPriority w:val="99"/>
    <w:rsid w:val="00663857"/>
    <w:rPr>
      <w:rFonts w:ascii="Times New Roman" w:hAnsi="Times New Roman" w:cs="Times New Roman"/>
      <w:sz w:val="24"/>
      <w:szCs w:val="24"/>
    </w:rPr>
  </w:style>
  <w:style w:type="table" w:styleId="TableGrid">
    <w:name w:val="Table Grid"/>
    <w:basedOn w:val="TableNormal"/>
    <w:uiPriority w:val="39"/>
    <w:rsid w:val="00663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63857"/>
  </w:style>
  <w:style w:type="character" w:styleId="Emphasis">
    <w:name w:val="Emphasis"/>
    <w:basedOn w:val="DefaultParagraphFont"/>
    <w:uiPriority w:val="20"/>
    <w:qFormat/>
    <w:rsid w:val="00663857"/>
    <w:rPr>
      <w:i/>
      <w:iCs/>
    </w:rPr>
  </w:style>
  <w:style w:type="paragraph" w:styleId="ListParagraph">
    <w:name w:val="List Paragraph"/>
    <w:basedOn w:val="Normal"/>
    <w:uiPriority w:val="34"/>
    <w:qFormat/>
    <w:rsid w:val="00663857"/>
    <w:pPr>
      <w:spacing w:after="160" w:line="259" w:lineRule="auto"/>
      <w:ind w:left="720"/>
      <w:contextualSpacing/>
    </w:pPr>
    <w:rPr>
      <w:sz w:val="22"/>
      <w:szCs w:val="22"/>
    </w:rPr>
  </w:style>
  <w:style w:type="character" w:styleId="Hyperlink">
    <w:name w:val="Hyperlink"/>
    <w:basedOn w:val="DefaultParagraphFont"/>
    <w:uiPriority w:val="99"/>
    <w:unhideWhenUsed/>
    <w:rsid w:val="00663857"/>
    <w:rPr>
      <w:color w:val="0000FF"/>
      <w:u w:val="single"/>
    </w:rPr>
  </w:style>
  <w:style w:type="paragraph" w:styleId="NormalWeb">
    <w:name w:val="Normal (Web)"/>
    <w:basedOn w:val="Normal"/>
    <w:uiPriority w:val="99"/>
    <w:semiHidden/>
    <w:unhideWhenUsed/>
    <w:rsid w:val="00663857"/>
    <w:pPr>
      <w:spacing w:before="100" w:beforeAutospacing="1" w:after="100" w:afterAutospacing="1"/>
    </w:pPr>
    <w:rPr>
      <w:rFonts w:eastAsia="Times New Roman"/>
      <w:lang w:eastAsia="en-GB"/>
    </w:rPr>
  </w:style>
  <w:style w:type="paragraph" w:customStyle="1" w:styleId="Default">
    <w:name w:val="Default"/>
    <w:rsid w:val="00663857"/>
    <w:pPr>
      <w:autoSpaceDE w:val="0"/>
      <w:autoSpaceDN w:val="0"/>
      <w:adjustRightInd w:val="0"/>
      <w:spacing w:after="0" w:line="240" w:lineRule="auto"/>
    </w:pPr>
    <w:rPr>
      <w:rFonts w:ascii="Univers 45 Light" w:eastAsiaTheme="minorEastAsia" w:hAnsi="Univers 45 Light" w:cs="Univers 45 Light"/>
      <w:color w:val="000000"/>
      <w:sz w:val="24"/>
      <w:szCs w:val="24"/>
      <w:lang w:eastAsia="en-GB"/>
    </w:rPr>
  </w:style>
  <w:style w:type="character" w:styleId="FollowedHyperlink">
    <w:name w:val="FollowedHyperlink"/>
    <w:basedOn w:val="DefaultParagraphFont"/>
    <w:uiPriority w:val="99"/>
    <w:semiHidden/>
    <w:unhideWhenUsed/>
    <w:rsid w:val="00663857"/>
    <w:rPr>
      <w:color w:val="800080" w:themeColor="followedHyperlink"/>
      <w:u w:val="single"/>
    </w:rPr>
  </w:style>
  <w:style w:type="character" w:styleId="Strong">
    <w:name w:val="Strong"/>
    <w:basedOn w:val="DefaultParagraphFont"/>
    <w:uiPriority w:val="22"/>
    <w:qFormat/>
    <w:rsid w:val="00663857"/>
    <w:rPr>
      <w:b/>
      <w:bCs/>
    </w:rPr>
  </w:style>
  <w:style w:type="character" w:styleId="PlaceholderText">
    <w:name w:val="Placeholder Text"/>
    <w:basedOn w:val="DefaultParagraphFont"/>
    <w:uiPriority w:val="99"/>
    <w:semiHidden/>
    <w:rsid w:val="00663857"/>
    <w:rPr>
      <w:color w:val="808080"/>
    </w:rPr>
  </w:style>
  <w:style w:type="character" w:styleId="CommentReference">
    <w:name w:val="annotation reference"/>
    <w:basedOn w:val="DefaultParagraphFont"/>
    <w:uiPriority w:val="99"/>
    <w:semiHidden/>
    <w:unhideWhenUsed/>
    <w:rsid w:val="00663857"/>
    <w:rPr>
      <w:sz w:val="16"/>
      <w:szCs w:val="16"/>
    </w:rPr>
  </w:style>
  <w:style w:type="character" w:customStyle="1" w:styleId="citationref">
    <w:name w:val="citationref"/>
    <w:basedOn w:val="DefaultParagraphFont"/>
    <w:rsid w:val="00663857"/>
  </w:style>
  <w:style w:type="paragraph" w:customStyle="1" w:styleId="para">
    <w:name w:val="para"/>
    <w:basedOn w:val="Normal"/>
    <w:rsid w:val="00663857"/>
    <w:pPr>
      <w:spacing w:before="100" w:beforeAutospacing="1" w:after="100" w:afterAutospacing="1" w:line="240" w:lineRule="auto"/>
      <w:jc w:val="left"/>
    </w:pPr>
    <w:rPr>
      <w:rFonts w:eastAsia="Times New Roman"/>
      <w:lang w:eastAsia="en-GB"/>
    </w:rPr>
  </w:style>
  <w:style w:type="character" w:styleId="LineNumber">
    <w:name w:val="line number"/>
    <w:basedOn w:val="DefaultParagraphFont"/>
    <w:uiPriority w:val="99"/>
    <w:semiHidden/>
    <w:unhideWhenUsed/>
    <w:rsid w:val="009A06D0"/>
  </w:style>
  <w:style w:type="character" w:customStyle="1" w:styleId="label">
    <w:name w:val="label"/>
    <w:basedOn w:val="DefaultParagraphFont"/>
    <w:rsid w:val="008C441C"/>
  </w:style>
  <w:style w:type="character" w:customStyle="1" w:styleId="value">
    <w:name w:val="value"/>
    <w:basedOn w:val="DefaultParagraphFont"/>
    <w:rsid w:val="008C441C"/>
  </w:style>
  <w:style w:type="character" w:customStyle="1" w:styleId="self-citation-title">
    <w:name w:val="self-citation-title"/>
    <w:basedOn w:val="DefaultParagraphFont"/>
    <w:rsid w:val="00B26EF5"/>
  </w:style>
  <w:style w:type="character" w:customStyle="1" w:styleId="self-citation-journal">
    <w:name w:val="self-citation-journal"/>
    <w:basedOn w:val="DefaultParagraphFont"/>
    <w:rsid w:val="00B26EF5"/>
  </w:style>
  <w:style w:type="character" w:customStyle="1" w:styleId="self-citation-volume">
    <w:name w:val="self-citation-volume"/>
    <w:basedOn w:val="DefaultParagraphFont"/>
    <w:rsid w:val="00B26EF5"/>
  </w:style>
  <w:style w:type="character" w:customStyle="1" w:styleId="self-citation-elocation">
    <w:name w:val="self-citation-elocation"/>
    <w:basedOn w:val="DefaultParagraphFont"/>
    <w:rsid w:val="00B2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3968">
      <w:bodyDiv w:val="1"/>
      <w:marLeft w:val="0"/>
      <w:marRight w:val="0"/>
      <w:marTop w:val="0"/>
      <w:marBottom w:val="0"/>
      <w:divBdr>
        <w:top w:val="none" w:sz="0" w:space="0" w:color="auto"/>
        <w:left w:val="none" w:sz="0" w:space="0" w:color="auto"/>
        <w:bottom w:val="none" w:sz="0" w:space="0" w:color="auto"/>
        <w:right w:val="none" w:sz="0" w:space="0" w:color="auto"/>
      </w:divBdr>
      <w:divsChild>
        <w:div w:id="1997804018">
          <w:marLeft w:val="0"/>
          <w:marRight w:val="0"/>
          <w:marTop w:val="90"/>
          <w:marBottom w:val="0"/>
          <w:divBdr>
            <w:top w:val="none" w:sz="0" w:space="0" w:color="auto"/>
            <w:left w:val="none" w:sz="0" w:space="0" w:color="auto"/>
            <w:bottom w:val="none" w:sz="0" w:space="0" w:color="auto"/>
            <w:right w:val="none" w:sz="0" w:space="0" w:color="auto"/>
          </w:divBdr>
          <w:divsChild>
            <w:div w:id="947741102">
              <w:marLeft w:val="0"/>
              <w:marRight w:val="0"/>
              <w:marTop w:val="0"/>
              <w:marBottom w:val="420"/>
              <w:divBdr>
                <w:top w:val="none" w:sz="0" w:space="0" w:color="auto"/>
                <w:left w:val="none" w:sz="0" w:space="0" w:color="auto"/>
                <w:bottom w:val="none" w:sz="0" w:space="0" w:color="auto"/>
                <w:right w:val="none" w:sz="0" w:space="0" w:color="auto"/>
              </w:divBdr>
              <w:divsChild>
                <w:div w:id="40986309">
                  <w:marLeft w:val="0"/>
                  <w:marRight w:val="0"/>
                  <w:marTop w:val="0"/>
                  <w:marBottom w:val="0"/>
                  <w:divBdr>
                    <w:top w:val="none" w:sz="0" w:space="0" w:color="auto"/>
                    <w:left w:val="none" w:sz="0" w:space="0" w:color="auto"/>
                    <w:bottom w:val="none" w:sz="0" w:space="0" w:color="auto"/>
                    <w:right w:val="none" w:sz="0" w:space="0" w:color="auto"/>
                  </w:divBdr>
                  <w:divsChild>
                    <w:div w:id="1784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3078">
      <w:bodyDiv w:val="1"/>
      <w:marLeft w:val="0"/>
      <w:marRight w:val="0"/>
      <w:marTop w:val="0"/>
      <w:marBottom w:val="0"/>
      <w:divBdr>
        <w:top w:val="none" w:sz="0" w:space="0" w:color="auto"/>
        <w:left w:val="none" w:sz="0" w:space="0" w:color="auto"/>
        <w:bottom w:val="none" w:sz="0" w:space="0" w:color="auto"/>
        <w:right w:val="none" w:sz="0" w:space="0" w:color="auto"/>
      </w:divBdr>
    </w:div>
    <w:div w:id="577709071">
      <w:bodyDiv w:val="1"/>
      <w:marLeft w:val="0"/>
      <w:marRight w:val="0"/>
      <w:marTop w:val="0"/>
      <w:marBottom w:val="0"/>
      <w:divBdr>
        <w:top w:val="none" w:sz="0" w:space="0" w:color="auto"/>
        <w:left w:val="none" w:sz="0" w:space="0" w:color="auto"/>
        <w:bottom w:val="none" w:sz="0" w:space="0" w:color="auto"/>
        <w:right w:val="none" w:sz="0" w:space="0" w:color="auto"/>
      </w:divBdr>
    </w:div>
    <w:div w:id="1018894688">
      <w:bodyDiv w:val="1"/>
      <w:marLeft w:val="0"/>
      <w:marRight w:val="0"/>
      <w:marTop w:val="0"/>
      <w:marBottom w:val="0"/>
      <w:divBdr>
        <w:top w:val="none" w:sz="0" w:space="0" w:color="auto"/>
        <w:left w:val="none" w:sz="0" w:space="0" w:color="auto"/>
        <w:bottom w:val="none" w:sz="0" w:space="0" w:color="auto"/>
        <w:right w:val="none" w:sz="0" w:space="0" w:color="auto"/>
      </w:divBdr>
    </w:div>
    <w:div w:id="1278638531">
      <w:bodyDiv w:val="1"/>
      <w:marLeft w:val="0"/>
      <w:marRight w:val="0"/>
      <w:marTop w:val="0"/>
      <w:marBottom w:val="0"/>
      <w:divBdr>
        <w:top w:val="none" w:sz="0" w:space="0" w:color="auto"/>
        <w:left w:val="none" w:sz="0" w:space="0" w:color="auto"/>
        <w:bottom w:val="none" w:sz="0" w:space="0" w:color="auto"/>
        <w:right w:val="none" w:sz="0" w:space="0" w:color="auto"/>
      </w:divBdr>
    </w:div>
    <w:div w:id="1624001194">
      <w:bodyDiv w:val="1"/>
      <w:marLeft w:val="0"/>
      <w:marRight w:val="0"/>
      <w:marTop w:val="0"/>
      <w:marBottom w:val="0"/>
      <w:divBdr>
        <w:top w:val="none" w:sz="0" w:space="0" w:color="auto"/>
        <w:left w:val="none" w:sz="0" w:space="0" w:color="auto"/>
        <w:bottom w:val="none" w:sz="0" w:space="0" w:color="auto"/>
        <w:right w:val="none" w:sz="0" w:space="0" w:color="auto"/>
      </w:divBdr>
      <w:divsChild>
        <w:div w:id="2092000436">
          <w:marLeft w:val="0"/>
          <w:marRight w:val="0"/>
          <w:marTop w:val="90"/>
          <w:marBottom w:val="0"/>
          <w:divBdr>
            <w:top w:val="none" w:sz="0" w:space="0" w:color="auto"/>
            <w:left w:val="none" w:sz="0" w:space="0" w:color="auto"/>
            <w:bottom w:val="none" w:sz="0" w:space="0" w:color="auto"/>
            <w:right w:val="none" w:sz="0" w:space="0" w:color="auto"/>
          </w:divBdr>
          <w:divsChild>
            <w:div w:id="1605724657">
              <w:marLeft w:val="0"/>
              <w:marRight w:val="0"/>
              <w:marTop w:val="0"/>
              <w:marBottom w:val="420"/>
              <w:divBdr>
                <w:top w:val="none" w:sz="0" w:space="0" w:color="auto"/>
                <w:left w:val="none" w:sz="0" w:space="0" w:color="auto"/>
                <w:bottom w:val="none" w:sz="0" w:space="0" w:color="auto"/>
                <w:right w:val="none" w:sz="0" w:space="0" w:color="auto"/>
              </w:divBdr>
              <w:divsChild>
                <w:div w:id="422801662">
                  <w:marLeft w:val="0"/>
                  <w:marRight w:val="0"/>
                  <w:marTop w:val="0"/>
                  <w:marBottom w:val="0"/>
                  <w:divBdr>
                    <w:top w:val="none" w:sz="0" w:space="0" w:color="auto"/>
                    <w:left w:val="none" w:sz="0" w:space="0" w:color="auto"/>
                    <w:bottom w:val="none" w:sz="0" w:space="0" w:color="auto"/>
                    <w:right w:val="none" w:sz="0" w:space="0" w:color="auto"/>
                  </w:divBdr>
                  <w:divsChild>
                    <w:div w:id="17466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plantrnaseq.org/" TargetMode="External"/><Relationship Id="rId18" Type="http://schemas.openxmlformats.org/officeDocument/2006/relationships/hyperlink" Target="https://doi.org/10.1016/j.indcrop.2019.112058" TargetMode="External"/><Relationship Id="rId26" Type="http://schemas.openxmlformats.org/officeDocument/2006/relationships/hyperlink" Target="https://doi.org/10.5897/JMPR.9000026" TargetMode="External"/><Relationship Id="rId39" Type="http://schemas.openxmlformats.org/officeDocument/2006/relationships/hyperlink" Target="https://doi.org/10.1016/j.jplph.2015.03.004" TargetMode="External"/><Relationship Id="rId21" Type="http://schemas.openxmlformats.org/officeDocument/2006/relationships/hyperlink" Target="https://doi.org/10.1038/nbt.1883" TargetMode="External"/><Relationship Id="rId34" Type="http://schemas.openxmlformats.org/officeDocument/2006/relationships/hyperlink" Target="https://doi.org/10.1093/jxb/erm184" TargetMode="External"/><Relationship Id="rId42" Type="http://schemas.openxmlformats.org/officeDocument/2006/relationships/hyperlink" Target="https://doi.org/10.3732/ajb.1100292" TargetMode="External"/><Relationship Id="rId47" Type="http://schemas.openxmlformats.org/officeDocument/2006/relationships/hyperlink" Target="https://doi.org/10.1093/bioinformatics/btp120" TargetMode="External"/><Relationship Id="rId50" Type="http://schemas.openxmlformats.org/officeDocument/2006/relationships/hyperlink" Target="https://doi.org/10.1023/A:1015871916833" TargetMode="External"/><Relationship Id="rId55" Type="http://schemas.openxmlformats.org/officeDocument/2006/relationships/hyperlink" Target="https://doi.org/10.3732/ajb.1100334" TargetMode="External"/><Relationship Id="rId63" Type="http://schemas.openxmlformats.org/officeDocument/2006/relationships/hyperlink" Target="http://www.uniprot.org/uniprot/A0A0V0I0R3" TargetMode="External"/><Relationship Id="rId68" Type="http://schemas.openxmlformats.org/officeDocument/2006/relationships/hyperlink" Target="http://www.uniprot.org/uniprot/O24428" TargetMode="External"/><Relationship Id="rId76" Type="http://schemas.openxmlformats.org/officeDocument/2006/relationships/hyperlink" Target="http://www.uniprot.org/uniprot/G8XUP0" TargetMode="External"/><Relationship Id="rId84" Type="http://schemas.openxmlformats.org/officeDocument/2006/relationships/hyperlink" Target="http://www.uniprot.org/uniprot/Q5XEP9" TargetMode="External"/><Relationship Id="rId7" Type="http://schemas.openxmlformats.org/officeDocument/2006/relationships/endnotes" Target="endnotes.xml"/><Relationship Id="rId71" Type="http://schemas.openxmlformats.org/officeDocument/2006/relationships/hyperlink" Target="http://www.uniprot.org/uniprot/K4NZ15" TargetMode="External"/><Relationship Id="rId2" Type="http://schemas.openxmlformats.org/officeDocument/2006/relationships/styles" Target="styles.xml"/><Relationship Id="rId16" Type="http://schemas.openxmlformats.org/officeDocument/2006/relationships/hyperlink" Target="https://doi.org/10.1186/1471-2164-12-363" TargetMode="External"/><Relationship Id="rId29" Type="http://schemas.openxmlformats.org/officeDocument/2006/relationships/hyperlink" Target="https://doi.org/10.1371/journal.pone.0092501" TargetMode="External"/><Relationship Id="rId11" Type="http://schemas.openxmlformats.org/officeDocument/2006/relationships/hyperlink" Target="https://medplantrnaseq.org/" TargetMode="External"/><Relationship Id="rId24" Type="http://schemas.openxmlformats.org/officeDocument/2006/relationships/hyperlink" Target="https://doi.org/10.1093/nar/gku1113" TargetMode="External"/><Relationship Id="rId32" Type="http://schemas.openxmlformats.org/officeDocument/2006/relationships/hyperlink" Target="https://doi.org/10.1016/j.tplants.2005.07.007" TargetMode="External"/><Relationship Id="rId37" Type="http://schemas.openxmlformats.org/officeDocument/2006/relationships/hyperlink" Target="https://doi.org/10.3390/biology8030063" TargetMode="External"/><Relationship Id="rId40" Type="http://schemas.openxmlformats.org/officeDocument/2006/relationships/hyperlink" Target="https://doi.org/10.14719/pst.2014.1.3.41" TargetMode="External"/><Relationship Id="rId45" Type="http://schemas.openxmlformats.org/officeDocument/2006/relationships/hyperlink" Target="https://doi.org/10.3390/ijms140611713" TargetMode="External"/><Relationship Id="rId53" Type="http://schemas.openxmlformats.org/officeDocument/2006/relationships/hyperlink" Target="https://doi.org/10.1371/journal.pone.0060449" TargetMode="External"/><Relationship Id="rId58" Type="http://schemas.openxmlformats.org/officeDocument/2006/relationships/hyperlink" Target="https://doi.org/10.1007/s00253-013-5496-3" TargetMode="External"/><Relationship Id="rId66" Type="http://schemas.openxmlformats.org/officeDocument/2006/relationships/hyperlink" Target="http://www.uniprot.org/uniprot/M0TCR0" TargetMode="External"/><Relationship Id="rId74" Type="http://schemas.openxmlformats.org/officeDocument/2006/relationships/hyperlink" Target="http://www.uniprot.org/uniprot/K4P0T2" TargetMode="External"/><Relationship Id="rId79" Type="http://schemas.openxmlformats.org/officeDocument/2006/relationships/hyperlink" Target="http://www.uniprot.org/uniprot/G3GC08"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niprot.org/uniprot/Q5DNB1" TargetMode="External"/><Relationship Id="rId82" Type="http://schemas.openxmlformats.org/officeDocument/2006/relationships/hyperlink" Target="http://www.uniprot.org/uniprot/Q9XHL5" TargetMode="External"/><Relationship Id="rId19" Type="http://schemas.openxmlformats.org/officeDocument/2006/relationships/hyperlink" Target="https://doi.org/10.1016/j.gene.2021.145424" TargetMode="External"/><Relationship Id="rId4" Type="http://schemas.openxmlformats.org/officeDocument/2006/relationships/settings" Target="settings.xml"/><Relationship Id="rId9" Type="http://schemas.openxmlformats.org/officeDocument/2006/relationships/hyperlink" Target="mailto:m.g.jones@liverpool.ac.uk" TargetMode="External"/><Relationship Id="rId14" Type="http://schemas.openxmlformats.org/officeDocument/2006/relationships/hyperlink" Target="https://medplantrnaseq.org/" TargetMode="External"/><Relationship Id="rId22" Type="http://schemas.openxmlformats.org/officeDocument/2006/relationships/hyperlink" Target="https://doi.org/10.1016/j.gene.2013.05.073" TargetMode="External"/><Relationship Id="rId27" Type="http://schemas.openxmlformats.org/officeDocument/2006/relationships/hyperlink" Target="https://doi.org/10.1371/journal.pone.0103223" TargetMode="External"/><Relationship Id="rId30" Type="http://schemas.openxmlformats.org/officeDocument/2006/relationships/hyperlink" Target="https://doi.org/10.1039/C2NP20029E" TargetMode="External"/><Relationship Id="rId35" Type="http://schemas.openxmlformats.org/officeDocument/2006/relationships/hyperlink" Target="https://doi.org/10.1016/j.tplants.2004.07.006" TargetMode="External"/><Relationship Id="rId43" Type="http://schemas.openxmlformats.org/officeDocument/2006/relationships/hyperlink" Target="https://doi.org/10.18388/abp.2010_2375" TargetMode="External"/><Relationship Id="rId48" Type="http://schemas.openxmlformats.org/officeDocument/2006/relationships/hyperlink" Target="https://doi.org/10.1038/nbt.1621" TargetMode="External"/><Relationship Id="rId56" Type="http://schemas.openxmlformats.org/officeDocument/2006/relationships/hyperlink" Target="https://doi.org/10.1111/1755-0998.12109" TargetMode="External"/><Relationship Id="rId64" Type="http://schemas.openxmlformats.org/officeDocument/2006/relationships/hyperlink" Target="http://www.uniprot.org/uniprot/Q9SLN8" TargetMode="External"/><Relationship Id="rId69" Type="http://schemas.openxmlformats.org/officeDocument/2006/relationships/hyperlink" Target="http://www.uniprot.org/uniprot/A0A078EUD2" TargetMode="External"/><Relationship Id="rId77" Type="http://schemas.openxmlformats.org/officeDocument/2006/relationships/hyperlink" Target="http://www.uniprot.org/uniprot/C9W8B3" TargetMode="External"/><Relationship Id="rId8" Type="http://schemas.openxmlformats.org/officeDocument/2006/relationships/hyperlink" Target="mailto:Xianmin.Chang@rau.ac.uk" TargetMode="External"/><Relationship Id="rId51" Type="http://schemas.openxmlformats.org/officeDocument/2006/relationships/hyperlink" Target="https://doi.org/10.1111/mec.12014" TargetMode="External"/><Relationship Id="rId72" Type="http://schemas.openxmlformats.org/officeDocument/2006/relationships/hyperlink" Target="http://www.uniprot.org/uniprot/M0TI33" TargetMode="External"/><Relationship Id="rId80" Type="http://schemas.openxmlformats.org/officeDocument/2006/relationships/hyperlink" Target="http://www.uniprot.org/uniprot/A0A0B0MIR6" TargetMode="External"/><Relationship Id="rId85"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ebi.ac.uk/QuickGO-Beta" TargetMode="External"/><Relationship Id="rId17" Type="http://schemas.openxmlformats.org/officeDocument/2006/relationships/hyperlink" Target="https://doi.org/10.1186/1471-2229-10-252" TargetMode="External"/><Relationship Id="rId25" Type="http://schemas.openxmlformats.org/officeDocument/2006/relationships/hyperlink" Target="https://doi.org/10.1371/journal.pone.0050226" TargetMode="External"/><Relationship Id="rId33" Type="http://schemas.openxmlformats.org/officeDocument/2006/relationships/hyperlink" Target="https://doi.org/10.1093/nar/27.1.29" TargetMode="External"/><Relationship Id="rId38" Type="http://schemas.openxmlformats.org/officeDocument/2006/relationships/hyperlink" Target="https://doi.org/10.1186/1741-7007-12-42" TargetMode="External"/><Relationship Id="rId46" Type="http://schemas.openxmlformats.org/officeDocument/2006/relationships/hyperlink" Target="https://doi.org/10.1093/nar/gkv1179" TargetMode="External"/><Relationship Id="rId59" Type="http://schemas.openxmlformats.org/officeDocument/2006/relationships/footer" Target="footer1.xml"/><Relationship Id="rId67" Type="http://schemas.openxmlformats.org/officeDocument/2006/relationships/hyperlink" Target="http://www.uniprot.org/uniprot/F2NYJ0" TargetMode="External"/><Relationship Id="rId20" Type="http://schemas.openxmlformats.org/officeDocument/2006/relationships/hyperlink" Target="https://doi.org/10.3389/fpls.2011.00034" TargetMode="External"/><Relationship Id="rId41" Type="http://schemas.openxmlformats.org/officeDocument/2006/relationships/hyperlink" Target="https://doi.org/10.1038/s41598-017-17724-0" TargetMode="External"/><Relationship Id="rId54" Type="http://schemas.openxmlformats.org/officeDocument/2006/relationships/hyperlink" Target="https://doi.org/10.7717/peerj.6729" TargetMode="External"/><Relationship Id="rId62" Type="http://schemas.openxmlformats.org/officeDocument/2006/relationships/hyperlink" Target="http://www.uniprot.org/uniprot/F6H5H8" TargetMode="External"/><Relationship Id="rId70" Type="http://schemas.openxmlformats.org/officeDocument/2006/relationships/hyperlink" Target="http://www.uniprot.org/uniprot/K4NZ15" TargetMode="External"/><Relationship Id="rId75" Type="http://schemas.openxmlformats.org/officeDocument/2006/relationships/hyperlink" Target="http://www.uniprot.org/uniprot/W5VXS2" TargetMode="External"/><Relationship Id="rId83" Type="http://schemas.openxmlformats.org/officeDocument/2006/relationships/hyperlink" Target="http://www.uniprot.org/uniprot/J5JKX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plantrnaseq.org/" TargetMode="External"/><Relationship Id="rId23" Type="http://schemas.openxmlformats.org/officeDocument/2006/relationships/hyperlink" Target="https://doi.org/10.1038/nbt0510-421" TargetMode="External"/><Relationship Id="rId28" Type="http://schemas.openxmlformats.org/officeDocument/2006/relationships/hyperlink" Target="https://doi.org/10.1074/jbc.M116.717827" TargetMode="External"/><Relationship Id="rId36" Type="http://schemas.openxmlformats.org/officeDocument/2006/relationships/hyperlink" Target="https://doi.org/10.1016/j.phytol.2010.06.004" TargetMode="External"/><Relationship Id="rId49" Type="http://schemas.openxmlformats.org/officeDocument/2006/relationships/hyperlink" Target="https://doi.org/10.1038/nprot.2012.016" TargetMode="External"/><Relationship Id="rId57" Type="http://schemas.openxmlformats.org/officeDocument/2006/relationships/hyperlink" Target="https://doi.org/10.1016/j.jbiotec.2013.04.004" TargetMode="External"/><Relationship Id="rId10" Type="http://schemas.openxmlformats.org/officeDocument/2006/relationships/hyperlink" Target="http://www.sciencedirect.com/science/article/pii/S0168165613001843" TargetMode="External"/><Relationship Id="rId31" Type="http://schemas.openxmlformats.org/officeDocument/2006/relationships/hyperlink" Target="https://doi.org/10.1007/s00299-011-1202-z" TargetMode="External"/><Relationship Id="rId44" Type="http://schemas.openxmlformats.org/officeDocument/2006/relationships/hyperlink" Target="https://doi.org/10.1007/s11240-011-9933-7" TargetMode="External"/><Relationship Id="rId52" Type="http://schemas.openxmlformats.org/officeDocument/2006/relationships/hyperlink" Target="https://doi.org/10.1186/1471-2164-10-465" TargetMode="External"/><Relationship Id="rId60" Type="http://schemas.openxmlformats.org/officeDocument/2006/relationships/hyperlink" Target="http://www.uniprot.org/uniprot/B9SGP1" TargetMode="External"/><Relationship Id="rId65" Type="http://schemas.openxmlformats.org/officeDocument/2006/relationships/hyperlink" Target="http://www.uniprot.org/uniprot/T2DPZ9" TargetMode="External"/><Relationship Id="rId73" Type="http://schemas.openxmlformats.org/officeDocument/2006/relationships/hyperlink" Target="http://www.uniprot.org/uniprot/A5BND5" TargetMode="External"/><Relationship Id="rId78" Type="http://schemas.openxmlformats.org/officeDocument/2006/relationships/hyperlink" Target="http://www.uniprot.org/uniprot/Q40422" TargetMode="External"/><Relationship Id="rId81" Type="http://schemas.openxmlformats.org/officeDocument/2006/relationships/hyperlink" Target="http://www.uniprot.org/uniprot/F4JLV7"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4552</TotalTime>
  <Pages>37</Pages>
  <Words>12179</Words>
  <Characters>69421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Aleya Ferdausi</dc:creator>
  <cp:lastModifiedBy>Aleya Ferdausi</cp:lastModifiedBy>
  <cp:revision>277</cp:revision>
  <dcterms:created xsi:type="dcterms:W3CDTF">2020-05-18T05:52:00Z</dcterms:created>
  <dcterms:modified xsi:type="dcterms:W3CDTF">2021-04-05T14:31:00Z</dcterms:modified>
</cp:coreProperties>
</file>